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5" w:rsidRPr="00210AB5" w:rsidRDefault="00210AB5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692DAF" w:rsidRPr="00210AB5" w:rsidRDefault="00AC7DD0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210AB5">
        <w:rPr>
          <w:rFonts w:ascii="Arial" w:hAnsi="Arial" w:cs="Arial"/>
          <w:b/>
          <w:sz w:val="23"/>
          <w:szCs w:val="23"/>
          <w:lang w:val="pt-BR"/>
        </w:rPr>
        <w:t>TERMO DE FOMENTO N° 0</w:t>
      </w:r>
      <w:r w:rsidR="00FE1ED2">
        <w:rPr>
          <w:rFonts w:ascii="Arial" w:hAnsi="Arial" w:cs="Arial"/>
          <w:b/>
          <w:sz w:val="23"/>
          <w:szCs w:val="23"/>
          <w:lang w:val="pt-BR"/>
        </w:rPr>
        <w:t>2</w:t>
      </w:r>
      <w:r w:rsidR="00380437">
        <w:rPr>
          <w:rFonts w:ascii="Arial" w:hAnsi="Arial" w:cs="Arial"/>
          <w:b/>
          <w:sz w:val="23"/>
          <w:szCs w:val="23"/>
          <w:lang w:val="pt-BR"/>
        </w:rPr>
        <w:t>5</w:t>
      </w:r>
      <w:r w:rsidRPr="00210AB5">
        <w:rPr>
          <w:rFonts w:ascii="Arial" w:hAnsi="Arial" w:cs="Arial"/>
          <w:b/>
          <w:sz w:val="23"/>
          <w:szCs w:val="23"/>
          <w:lang w:val="pt-BR"/>
        </w:rPr>
        <w:t>/2018</w:t>
      </w:r>
    </w:p>
    <w:p w:rsidR="00692DAF" w:rsidRPr="00210AB5" w:rsidRDefault="00AC7DD0">
      <w:pPr>
        <w:spacing w:before="1152" w:line="360" w:lineRule="auto"/>
        <w:ind w:left="7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Pelo presente, de um lado, o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MUNICÍPIO DE </w:t>
      </w:r>
      <w:r w:rsidR="00E76016"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CH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APECO,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pessoa jurídica de direito público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interno, inscrito no CNPJ sob o n.°83.021.808</w:t>
      </w:r>
      <w:r w:rsidR="00C126BE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/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0001-82, co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m sede na Av. Getúlio Vargas,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° 957-S, Estado de Santa Catarina, dorava</w:t>
      </w:r>
      <w:r w:rsidR="00E76016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nte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denominado simplesmente MUNICÍPIO, </w:t>
      </w:r>
      <w:r w:rsidR="00210AB5">
        <w:rPr>
          <w:rFonts w:ascii="Arial" w:hAnsi="Arial" w:cs="Arial"/>
          <w:color w:val="000000"/>
          <w:sz w:val="23"/>
          <w:szCs w:val="23"/>
          <w:lang w:val="pt-BR"/>
        </w:rPr>
        <w:t>neste ato representado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pel</w:t>
      </w:r>
      <w:r w:rsidR="00210AB5" w:rsidRPr="00210AB5">
        <w:rPr>
          <w:rFonts w:ascii="Arial" w:hAnsi="Arial" w:cs="Arial"/>
          <w:sz w:val="23"/>
          <w:szCs w:val="23"/>
          <w:lang w:val="pt-BR"/>
        </w:rPr>
        <w:t>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SECRETARIA </w:t>
      </w:r>
      <w:r w:rsidR="00FE1ED2">
        <w:rPr>
          <w:rFonts w:ascii="Arial" w:hAnsi="Arial" w:cs="Arial"/>
          <w:b/>
          <w:sz w:val="23"/>
          <w:szCs w:val="23"/>
          <w:lang w:val="pt-BR"/>
        </w:rPr>
        <w:t>MUNICIPAL DE ASSISTENCIA SOCIAL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por intermédio de sua secretária, Sra. </w:t>
      </w:r>
      <w:r w:rsidR="00FE1ED2">
        <w:rPr>
          <w:rFonts w:ascii="Arial" w:hAnsi="Arial" w:cs="Arial"/>
          <w:b/>
          <w:sz w:val="23"/>
          <w:szCs w:val="23"/>
          <w:lang w:val="pt-BR"/>
        </w:rPr>
        <w:t>ULDA BALDISSERA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, inscrita no CPF/MF sob o n.º </w:t>
      </w:r>
      <w:r w:rsidR="00FE1ED2">
        <w:rPr>
          <w:rFonts w:ascii="Arial" w:hAnsi="Arial" w:cs="Arial"/>
          <w:sz w:val="23"/>
          <w:szCs w:val="23"/>
          <w:lang w:val="pt-BR"/>
        </w:rPr>
        <w:t>141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</w:t>
      </w:r>
      <w:r w:rsidR="00FE1ED2">
        <w:rPr>
          <w:rFonts w:ascii="Arial" w:hAnsi="Arial" w:cs="Arial"/>
          <w:sz w:val="23"/>
          <w:szCs w:val="23"/>
          <w:lang w:val="pt-BR"/>
        </w:rPr>
        <w:t>346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.9</w:t>
      </w:r>
      <w:r w:rsidR="00FE1ED2">
        <w:rPr>
          <w:rFonts w:ascii="Arial" w:hAnsi="Arial" w:cs="Arial"/>
          <w:sz w:val="23"/>
          <w:szCs w:val="23"/>
          <w:lang w:val="pt-BR"/>
        </w:rPr>
        <w:t>19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-15 e no RG sob o nº </w:t>
      </w:r>
      <w:r w:rsidR="00FE1ED2">
        <w:rPr>
          <w:rFonts w:ascii="Arial" w:hAnsi="Arial" w:cs="Arial"/>
          <w:sz w:val="23"/>
          <w:szCs w:val="23"/>
          <w:lang w:val="pt-BR"/>
        </w:rPr>
        <w:t>12R 615.916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 SSP/SC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e, de outro lado, </w:t>
      </w:r>
      <w:r w:rsidR="00380437">
        <w:rPr>
          <w:rFonts w:ascii="Arial" w:hAnsi="Arial" w:cs="Arial"/>
          <w:b/>
          <w:lang w:val="pt-BR"/>
        </w:rPr>
        <w:t>GRUPO DE APOIO A PREVENÇÃO À AIDS E DEFESA DOS DIREITOS HUMANOS E SOCIAIS – GAPA CHAPECÓ</w:t>
      </w:r>
      <w:r w:rsidR="003A27CD" w:rsidRPr="00210AB5">
        <w:rPr>
          <w:rFonts w:ascii="Arial" w:hAnsi="Arial" w:cs="Arial"/>
          <w:lang w:val="pt-BR"/>
        </w:rPr>
        <w:t xml:space="preserve">, inscrito no CNPJ sob nº </w:t>
      </w:r>
      <w:r w:rsidR="00380437">
        <w:rPr>
          <w:rFonts w:ascii="Arial" w:hAnsi="Arial" w:cs="Arial"/>
          <w:lang w:val="pt-BR"/>
        </w:rPr>
        <w:t>80.624.042/0001-32</w:t>
      </w:r>
      <w:r w:rsidR="003A27CD" w:rsidRPr="00210AB5">
        <w:rPr>
          <w:rFonts w:ascii="Arial" w:hAnsi="Arial" w:cs="Arial"/>
          <w:lang w:val="pt-BR"/>
        </w:rPr>
        <w:t xml:space="preserve">, com sede na </w:t>
      </w:r>
      <w:r w:rsidR="009E63EB">
        <w:rPr>
          <w:rFonts w:ascii="Arial" w:hAnsi="Arial" w:cs="Arial"/>
          <w:lang w:val="pt-BR"/>
        </w:rPr>
        <w:t xml:space="preserve">Avenida </w:t>
      </w:r>
      <w:r w:rsidR="00380437">
        <w:rPr>
          <w:rFonts w:ascii="Arial" w:hAnsi="Arial" w:cs="Arial"/>
          <w:lang w:val="pt-BR"/>
        </w:rPr>
        <w:t>Nereu Ramos</w:t>
      </w:r>
      <w:r w:rsidR="003A27CD" w:rsidRPr="00210AB5">
        <w:rPr>
          <w:rFonts w:ascii="Arial" w:hAnsi="Arial" w:cs="Arial"/>
          <w:lang w:val="pt-BR"/>
        </w:rPr>
        <w:t xml:space="preserve">, </w:t>
      </w:r>
      <w:r w:rsidR="00380437">
        <w:rPr>
          <w:rFonts w:ascii="Arial" w:hAnsi="Arial" w:cs="Arial"/>
          <w:lang w:val="pt-BR"/>
        </w:rPr>
        <w:t>75</w:t>
      </w:r>
      <w:r w:rsidR="003A27CD" w:rsidRPr="00210AB5">
        <w:rPr>
          <w:rFonts w:ascii="Arial" w:hAnsi="Arial" w:cs="Arial"/>
          <w:lang w:val="pt-BR"/>
        </w:rPr>
        <w:t xml:space="preserve"> </w:t>
      </w:r>
      <w:r w:rsidR="00380437">
        <w:rPr>
          <w:rFonts w:ascii="Arial" w:hAnsi="Arial" w:cs="Arial"/>
          <w:lang w:val="pt-BR"/>
        </w:rPr>
        <w:t>D, sala 905A</w:t>
      </w:r>
      <w:r w:rsidR="003A27CD" w:rsidRPr="00210AB5">
        <w:rPr>
          <w:rFonts w:ascii="Arial" w:hAnsi="Arial" w:cs="Arial"/>
          <w:lang w:val="pt-BR"/>
        </w:rPr>
        <w:t xml:space="preserve">, Bairro </w:t>
      </w:r>
      <w:r w:rsidR="00380437">
        <w:rPr>
          <w:rFonts w:ascii="Arial" w:hAnsi="Arial" w:cs="Arial"/>
          <w:lang w:val="pt-BR"/>
        </w:rPr>
        <w:t>Centro</w:t>
      </w:r>
      <w:r w:rsidR="003A27CD" w:rsidRPr="00210AB5">
        <w:rPr>
          <w:rFonts w:ascii="Arial" w:hAnsi="Arial" w:cs="Arial"/>
          <w:lang w:val="pt-BR"/>
        </w:rPr>
        <w:t>, no Município de Chapecó/SC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, neste ato 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>representado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por s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>e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>u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responsável legal</w:t>
      </w:r>
      <w:r w:rsidR="00C54C08" w:rsidRPr="00210AB5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Sr</w:t>
      </w:r>
      <w:r w:rsidR="002C7E71"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. </w:t>
      </w:r>
      <w:r w:rsidR="00380437">
        <w:rPr>
          <w:rFonts w:ascii="Arial" w:hAnsi="Arial" w:cs="Arial"/>
          <w:b/>
          <w:color w:val="000000"/>
          <w:sz w:val="23"/>
          <w:szCs w:val="23"/>
          <w:lang w:val="pt-BR"/>
        </w:rPr>
        <w:t>DIRCEU LUIZ HERMES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inscrit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>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CPF N° </w:t>
      </w:r>
      <w:r w:rsidR="003804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651.922.279-04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 RG N° </w:t>
      </w:r>
      <w:r w:rsidR="003804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1.715.728</w:t>
      </w:r>
      <w:r w:rsidR="003A27CD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SSP/S</w:t>
      </w:r>
      <w:r w:rsidR="003804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C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, celebram este Termo de Fomento com 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fundamento na Lei Federal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13.019/14, alterada pela Lei Federal n° 13.204/2015, no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Edital de Chamamento Publico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n°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>001/2018</w:t>
      </w:r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– Fundo da Infância e Adolescência – </w:t>
      </w:r>
      <w:proofErr w:type="gramStart"/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>FIA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,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na Lei de Diretrizes Orçamentárias, na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Lei Orçamentária Anual, na Lei Complementar 101, de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04 de maio de 2000, bem como no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Decreto Municipal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n°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>33.801/2017</w:t>
      </w:r>
      <w:r w:rsidR="00C54C08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 nas condições que seguem:</w:t>
      </w:r>
    </w:p>
    <w:p w:rsidR="00B75272" w:rsidRPr="00B75272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"/>
          <w:szCs w:val="2"/>
          <w:lang w:val="pt-BR"/>
        </w:rPr>
      </w:pPr>
    </w:p>
    <w:p w:rsidR="00692DAF" w:rsidRPr="00210AB5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C</w:t>
      </w:r>
      <w:r w:rsidR="00AC7DD0" w:rsidRPr="00210AB5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LÁUSULA PRIMEIRA — DO OBJETO DO TERMO DE FOMENTO</w:t>
      </w:r>
    </w:p>
    <w:p w:rsidR="00692DAF" w:rsidRPr="00210AB5" w:rsidRDefault="00AC7DD0">
      <w:pPr>
        <w:spacing w:before="50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1.1 — Constitui objeto do presente Termo de Fomento </w:t>
      </w:r>
      <w:r w:rsidR="00380437">
        <w:rPr>
          <w:rFonts w:ascii="Arial" w:hAnsi="Arial" w:cs="Arial"/>
          <w:color w:val="000000"/>
          <w:sz w:val="23"/>
          <w:szCs w:val="23"/>
          <w:lang w:val="pt-BR"/>
        </w:rPr>
        <w:t>o desenvolvimento de atividades em educação sexual e prevenção de gravidez e DST, HIV na adolescência, visando: a promoção, proteção e defesa dos direitos dos adolescentes; diminuir casos de gravidez na adolescência e reduzir a prevalência de casos de DST, HIV/AIDS entre adolescentes residentes no Município de Chapecó</w:t>
      </w:r>
      <w:r w:rsidR="005B3037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conforme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detalhado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1.2 — O plano de trabalho referido na cláusula acima é parte integrante e indissociável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presente Termo de Fomento.</w:t>
      </w:r>
    </w:p>
    <w:p w:rsidR="00692DAF" w:rsidRPr="00210AB5" w:rsidRDefault="00AC7DD0" w:rsidP="006C1E50">
      <w:pPr>
        <w:tabs>
          <w:tab w:val="right" w:pos="7752"/>
        </w:tabs>
        <w:spacing w:before="396" w:line="268" w:lineRule="auto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>1.3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Não poderão ser destinados recursos para atender 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>despe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sas vedadas pela 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respectiva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Lei de Diretrizes Orçamentárias.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1.4 - É vedada a execução de atividades que tenham por objeto, envolvam ou incluam, direta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 indiretamente: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 - delegação das funções de regulação, de fiscalização, do exercício do poder de polícia ou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outras atividades exclusivas do Estado,</w:t>
      </w:r>
    </w:p>
    <w:p w:rsidR="00692DAF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 - prestação de serviços ou de atividades cujo destinatário seja o aparelho administrativo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Município.</w:t>
      </w:r>
    </w:p>
    <w:p w:rsidR="00B75272" w:rsidRDefault="00B75272" w:rsidP="00B75272">
      <w:pPr>
        <w:spacing w:before="120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B75272" w:rsidRDefault="00B75272" w:rsidP="00B75272">
      <w:pPr>
        <w:ind w:right="4825"/>
        <w:rPr>
          <w:rFonts w:ascii="Arial" w:hAnsi="Arial" w:cs="Arial"/>
          <w:b/>
          <w:color w:val="000000"/>
          <w:spacing w:val="-3"/>
          <w:sz w:val="2"/>
          <w:szCs w:val="2"/>
          <w:lang w:val="pt-BR"/>
        </w:rPr>
      </w:pPr>
    </w:p>
    <w:p w:rsidR="00692DAF" w:rsidRPr="00210AB5" w:rsidRDefault="00AC7DD0" w:rsidP="00B75272">
      <w:pPr>
        <w:spacing w:before="240" w:line="559" w:lineRule="auto"/>
        <w:ind w:right="4825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  <w:t>CLÁUSULA SEGUNDA — DAS OBRIGAÇÕES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2.1 - São obrigações dos Partícipes:</w:t>
      </w:r>
    </w:p>
    <w:p w:rsidR="00692DAF" w:rsidRPr="00210AB5" w:rsidRDefault="00AC7DD0">
      <w:pPr>
        <w:spacing w:before="180" w:line="292" w:lineRule="auto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DA ADMINISTRAÇÃO PÚBLICA MUNICIPAL: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fornecer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informações detalhadas para a prestação de contas à entidade por ocasião da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celebração das parcerias, informando previamente e publicando em meios oficiais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comunicação às referidas organizações eventuais alterações no seu conteúdo;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emitir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relatório técnico de monitoramento e avaliação da parceria e o submeter à comissão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de monitoramento e avaliação designada, que o homologará, independentemente da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obrigatoriedade de apresentação da prestação de contas devida pela entidade;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realizar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, nas parcerias com vigência superior a um ano, pesquisa de satisfação com os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beneficiários do plano de trabalho e utilizar os resultados como subsídio na avaliação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parceria celebrada e do cumprimento dos objetivos pactuados, bem como na reorientação 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no ajuste das metas e atividades definidas;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liberar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os recursos por meio de transferência eletrônica e em obediência ao cronograma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de desembolso, que guardará consonância com as metas, fases ou etapas de execução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do termo de colaboração;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promover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o monitoramento e a avaliação do cumprimento do objeto da parceria;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hipótese de o gestor da parceria deixar de ser agente público ou ser lotado em outro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órgão ou entidade, o administrador público deverá designar novo gestor, assumindo, </w:t>
      </w:r>
      <w:r w:rsidRPr="00210AB5">
        <w:rPr>
          <w:rFonts w:ascii="Arial" w:hAnsi="Arial" w:cs="Arial"/>
          <w:color w:val="000000"/>
          <w:spacing w:val="18"/>
          <w:sz w:val="23"/>
          <w:szCs w:val="23"/>
          <w:lang w:val="pt-BR"/>
        </w:rPr>
        <w:lastRenderedPageBreak/>
        <w:t xml:space="preserve">enquanto isso não ocorrer, todas as obrigações do gestor, com as respectivas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divulgar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pela Internet os meios de representação sobre a aplicação irregular dos recursos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envolvidos na parceria;</w:t>
      </w:r>
    </w:p>
    <w:p w:rsidR="00692DAF" w:rsidRPr="00210AB5" w:rsidRDefault="00AC7DD0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>instaurar</w:t>
      </w:r>
      <w:proofErr w:type="gramEnd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 tomada de contas antes do término da parceria, ante a constatação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evidências de irregularidades na execução do objeto da parceria.</w:t>
      </w:r>
    </w:p>
    <w:p w:rsidR="00B75272" w:rsidRDefault="00B75272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</w:p>
    <w:p w:rsidR="00692DAF" w:rsidRPr="00210AB5" w:rsidRDefault="00AC7DD0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II — DA ENTIDADE: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escrituração contábil regular;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prestar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contas dos recursos recebidos por meio deste Termo de Fomento, observando o que dispõe o Manual de Prestação de Contas, em anexo;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e movimentar os recursos na conta bancária específica, observado o disposto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art. 51 da Lei n° 13.019/2014;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livre acesso dos servidores dos órgãos ou das entidades públicas repassadoras 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recursos, do controle interno e do Tribunal de Contas correspondentes aos processos, aos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exclusivamente pelo gerenciamento administrativo e financeiro dos recursos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recebidos, inclusive no que diz respeito às despesas de custeio, de investimento e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pessoal;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exclusivamente pelo pagamento dos encargos trabalhistas, previdenciários,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fiscais e comerciais relacionados à execução do objeto previsto no Termo de Fomento, não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implicando responsabilidade solidária ou subsidiária da administração pública 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inadimplência da organização da sociedade civil em relação ao referido pagamento, os ônus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incidentes sobre o objeto da parceria ou os danos decorrentes de restrição à sua execução;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disponibilizar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cidadão, na sua página na internet ou, na falta desta, em sua sede,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consulta ao extrato deste Termo de Fomento, contendo, pelo menos, o objeto, a finalidade 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 detalhamento da aplicação dos recursos.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>divulgar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na internet e em locais visíveis de suas sedes sociais e dos estabelecimentos 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 exerça suas ações todas as parcerias celebradas com o poder público, contendo, no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mínimo, as informações requeridas no parágrafo único do art. 11 da Lei n° 13.019/2014;</w:t>
      </w:r>
    </w:p>
    <w:p w:rsidR="00692DAF" w:rsidRPr="00210AB5" w:rsidRDefault="00AC7DD0">
      <w:pPr>
        <w:numPr>
          <w:ilvl w:val="0"/>
          <w:numId w:val="2"/>
        </w:numPr>
        <w:spacing w:before="252" w:line="266" w:lineRule="auto"/>
        <w:ind w:left="0" w:firstLine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possuir entre seus dirigentes pessoas:</w:t>
      </w:r>
    </w:p>
    <w:p w:rsidR="00692DAF" w:rsidRPr="00210AB5" w:rsidRDefault="00AC7DD0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- cujas contas relativas a parcerias tenham sido julgadas irregulares ou rejeitadas por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Tribunal ou Conselho de Contas de qualquer esfera da Federação, em decisão irrecorrível,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nos últimos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8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(oito) anos;</w:t>
      </w:r>
    </w:p>
    <w:p w:rsidR="00692DAF" w:rsidRPr="00210AB5" w:rsidRDefault="00AC7DD0">
      <w:pPr>
        <w:ind w:right="144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- julgada responsável por falta grave e inabilitada para o exercício de cargo em comissão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ou função de confiança, enquanto durar a inabilitação;</w:t>
      </w:r>
    </w:p>
    <w:p w:rsidR="00692DAF" w:rsidRPr="00210AB5" w:rsidRDefault="00AC7DD0">
      <w:pPr>
        <w:ind w:right="216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considerada responsável por ato de improbidade, enquanto durarem os prazos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estabelecidos nos incisos l, II e III do art. 12 da Lei no 8.429, de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2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junho de 1992;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contratar ou remunerar, a qualquer título, com os recursos repassados, vereador,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servidor ou empregado público, inclusive aquele que exerça cargo em comissão ou função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de confiança de órgão ou entidade da administração pública direta e indireta municipal,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bem como seus respectivos cônjuges, companheiros ou parentes, até o segundo grau, em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linha reta, colateral ou por afinidade.</w:t>
      </w:r>
    </w:p>
    <w:p w:rsidR="00B75272" w:rsidRPr="00B75272" w:rsidRDefault="00B75272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"/>
          <w:szCs w:val="2"/>
          <w:lang w:val="pt-BR"/>
        </w:rPr>
      </w:pPr>
    </w:p>
    <w:p w:rsidR="00692DAF" w:rsidRPr="00210AB5" w:rsidRDefault="00AC7DD0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  <w:t>CLÁUSULA TERCEIRA — DOS RECURSOS FINANCEIROS</w:t>
      </w:r>
    </w:p>
    <w:p w:rsidR="00692DAF" w:rsidRPr="00210AB5" w:rsidRDefault="00AC7DD0">
      <w:pPr>
        <w:spacing w:before="43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3.1 - O montante total de recursos a serem empregados na execução do projeto, objeto do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presente Termo de Fomento, é de 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até R$ 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2</w:t>
      </w:r>
      <w:r w:rsidR="00380437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9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.</w:t>
      </w:r>
      <w:r w:rsidR="005B3037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5</w:t>
      </w:r>
      <w:r w:rsidR="00380437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85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,00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(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V</w:t>
      </w:r>
      <w:r w:rsidR="00B75272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inte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380437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nove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mil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5B3037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quinhentos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380437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oitenta</w:t>
      </w:r>
      <w:r w:rsidR="005B3037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380437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cinco</w:t>
      </w:r>
      <w:r w:rsidR="00A17368"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reais), divididos em parcelas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mensais, de acordo com o Plano de Aplicação e Planilha de Execução do Plano de Trabalho,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correndo as despesas por conta das dotações orçamentárias aprovadas para o exercício de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3.2 — Para fazer face às despesas, serão utilizados recursos oriundos da dotação </w:t>
      </w:r>
      <w:r w:rsidR="00E7048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 conta especifica, através do Fundo de Infância e Adolescência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:</w:t>
      </w:r>
    </w:p>
    <w:p w:rsidR="00692DAF" w:rsidRPr="00210AB5" w:rsidRDefault="00A9378F" w:rsidP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3.3 Os</w:t>
      </w:r>
      <w:r w:rsidR="00AC7DD0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repasses serão realizados somente se a Organização da Sociedade Civil estiver </w:t>
      </w:r>
      <w:r w:rsidR="00AC7DD0" w:rsidRPr="00210AB5">
        <w:rPr>
          <w:rFonts w:ascii="Arial" w:hAnsi="Arial" w:cs="Arial"/>
          <w:color w:val="000000"/>
          <w:spacing w:val="-12"/>
          <w:sz w:val="23"/>
          <w:szCs w:val="23"/>
          <w:lang w:val="pt-BR"/>
        </w:rPr>
        <w:t xml:space="preserve">em dia com a prestação de contas de repasses concedidos anteriormente, independente do </w:t>
      </w:r>
      <w:r w:rsidR="00AC7DD0"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exercício.</w:t>
      </w:r>
    </w:p>
    <w:p w:rsidR="00B75272" w:rsidRPr="00B75272" w:rsidRDefault="00B75272">
      <w:pPr>
        <w:spacing w:before="252"/>
        <w:rPr>
          <w:rFonts w:ascii="Arial" w:hAnsi="Arial" w:cs="Arial"/>
          <w:b/>
          <w:color w:val="000000"/>
          <w:spacing w:val="-9"/>
          <w:sz w:val="12"/>
          <w:szCs w:val="12"/>
          <w:lang w:val="pt-BR"/>
        </w:rPr>
      </w:pPr>
    </w:p>
    <w:p w:rsidR="00692DAF" w:rsidRPr="00210AB5" w:rsidRDefault="00AC7DD0">
      <w:pPr>
        <w:spacing w:before="252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  <w:t>CLÁUSULA QUARTA - DA TRANSFERÊNCIA E APLICAÇÃO DOS RECURSOS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4.1 - A </w:t>
      </w:r>
      <w:r w:rsidRPr="00E70488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>ADMINISTRAÇÃO PÚBLICA MUNICIPAL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transferirá os recursos em favor da </w:t>
      </w:r>
      <w:r w:rsidRPr="00E70488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ORGANIZAÇÃO DA SOCIEDADE CIVIL (OSC),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conforme o cronograma de desembolso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contido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lastRenderedPageBreak/>
        <w:t xml:space="preserve">no plano de trabalho, mediante transferência eletrônica sujeita à identificação do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beneficiário final e à obrigatoriedade de depósito em sua conta bancária específica vinculada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a este instrumento.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4.2 - Os rendimentos das aplicações financeiras serão, obrigatoriamente, aplicados no objeto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do Termo de Fomento ou da transferência, estando sujeitos às mesmas condições de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prestação de contas exigidos para os recursos transferidos.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4.3 - As parcelas dos recursos transferidos no âmbito da parceria não serão liberadas 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ficarão retidas nos seguintes casos: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 - quando houver evidências de irregularidade na aplicação de parcela anteriormente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recebida;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II - quando constatado desvio de finalidade na aplicação, dos recursos ou o inadimplemento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da entidade em relação a obrigações estabelecidas no termo de Fomento;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III- quando a entidade deixar de adotar sem justificativa suficiente as medidas saneadoras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apontadas pela administração pública ou pelos órgãos de controle interno ou externo.</w:t>
      </w:r>
    </w:p>
    <w:p w:rsidR="00B75272" w:rsidRDefault="00AC7DD0" w:rsidP="00B75272">
      <w:pPr>
        <w:spacing w:before="180"/>
        <w:ind w:right="144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4.4 - Em caso de retenção das parcelas, subsequentes, pela ocorrência de um dos itens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acima, o Município, decidirá sobre a retomada ou não dos repasses, bem corno quanto ao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pagamento ou não das parcelas retidas, que só poderão ser liberadas em caso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manutenção das atividades previstas nó plano de trabalho e após a </w:t>
      </w:r>
      <w:r w:rsidRPr="00210AB5">
        <w:rPr>
          <w:rFonts w:ascii="Arial" w:hAnsi="Arial" w:cs="Arial"/>
          <w:color w:val="000000"/>
          <w:spacing w:val="-14"/>
          <w:sz w:val="23"/>
          <w:szCs w:val="23"/>
          <w:lang w:val="pt-BR"/>
        </w:rPr>
        <w:t xml:space="preserve">regularização de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pendências identificadas.</w:t>
      </w:r>
    </w:p>
    <w:p w:rsidR="00692DAF" w:rsidRPr="00210AB5" w:rsidRDefault="00B75272" w:rsidP="00B75272">
      <w:pPr>
        <w:spacing w:before="180"/>
        <w:ind w:right="144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3"/>
          <w:sz w:val="23"/>
          <w:szCs w:val="23"/>
          <w:lang w:val="pt-BR"/>
        </w:rPr>
        <w:t>4</w:t>
      </w:r>
      <w:r w:rsidR="00AC7DD0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.5 - Por ocasião da conclusão, utilização do recurso em desconformidade com as normas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aplicáveis, denúncia, rescisão ou extinção da parceria, os saldos financeiros remanescentes,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inclusive os provenientes das receitas obtidas das aplicações financeiras realizadas, </w:t>
      </w:r>
      <w:r w:rsidR="00AC7DD0" w:rsidRPr="00210AB5">
        <w:rPr>
          <w:rFonts w:ascii="Arial" w:hAnsi="Arial" w:cs="Arial"/>
          <w:color w:val="000000"/>
          <w:w w:val="105"/>
          <w:sz w:val="23"/>
          <w:szCs w:val="23"/>
          <w:u w:val="single"/>
          <w:lang w:val="pt-BR"/>
        </w:rPr>
        <w:t xml:space="preserve">serão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u w:val="single"/>
          <w:lang w:val="pt-BR"/>
        </w:rPr>
        <w:t xml:space="preserve">devolvidos à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administração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pública no prazo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e 30 (trinta dias), </w:t>
      </w:r>
      <w:proofErr w:type="gramStart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sob pena</w:t>
      </w:r>
      <w:proofErr w:type="gramEnd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de </w:t>
      </w:r>
      <w:r w:rsidR="00AC7DD0"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imediata instauração de tomada de contas especial do responsável, providenciada pela </w:t>
      </w:r>
      <w:r w:rsidR="00AC7DD0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 competente da administração pública.</w:t>
      </w:r>
    </w:p>
    <w:p w:rsidR="00692DAF" w:rsidRPr="00210AB5" w:rsidRDefault="00AC7DD0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CLÁUSULA QUINTA - DA EXECUÇÃO DAS DESPESAS</w:t>
      </w:r>
    </w:p>
    <w:p w:rsidR="00692DAF" w:rsidRPr="00210AB5" w:rsidRDefault="00AC7DD0">
      <w:pPr>
        <w:spacing w:before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5.1 — O presente Termo de Fomento deverá </w:t>
      </w:r>
      <w:r w:rsidRPr="00210AB5">
        <w:rPr>
          <w:rFonts w:ascii="Arial" w:hAnsi="Arial" w:cs="Arial"/>
          <w:color w:val="000000"/>
          <w:spacing w:val="3"/>
          <w:w w:val="110"/>
          <w:sz w:val="23"/>
          <w:szCs w:val="23"/>
          <w:lang w:val="pt-BR"/>
        </w:rPr>
        <w:t xml:space="preserve">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executado fielmente pelos partícipes, de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acordo com as cláusulas pactuadas, as normas de regência e conforme Manual entregue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pela Administração, na data da assinatura deste instrumento, respondendo cada uma pelas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consequências de sua inexecução total ou parcial.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5.2 - Fica expressamente vedada a utilização dos recursos transferidos,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nulidade do ato e responsabilidade do agente ou representante da </w:t>
      </w:r>
      <w:r w:rsidRPr="00210AB5">
        <w:rPr>
          <w:rFonts w:ascii="Arial" w:hAnsi="Arial" w:cs="Arial"/>
          <w:b/>
          <w:color w:val="000000"/>
          <w:spacing w:val="1"/>
          <w:w w:val="105"/>
          <w:sz w:val="23"/>
          <w:szCs w:val="23"/>
          <w:lang w:val="pt-BR"/>
        </w:rPr>
        <w:t xml:space="preserve">ENTIDADE,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realização de despesas a título de taxa de administração, de gerência ou similar;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lastRenderedPageBreak/>
        <w:t xml:space="preserve">II - finalidade diversa da estabelecida neste instrumento, ainda que em caráter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emergência;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III - realização de despesas em data anterior ou posterior à vigência do Termo de Fomento,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e/ou em data anterior a liberação da parcela' mensal e/ou posterior aos 30 (trinta) dias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concedidos para a utilização do recurso, (60 dias para o caso de parcela única), conforme IN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02/2014, da Controladoria Geral do Município de Chape</w:t>
      </w:r>
      <w:r w:rsidR="00E7048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có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;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realização de despesas com taxas bancárias, com multas, juros ou correção monetária,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inclusive, referentes a pagamentos ou recolhimentos fora dos prazos;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realização de despesas com publicidade, salvo as de caráter educativo, informativo ou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orientação social, das quais não constem nomes, símbolos ou imagens que caracterizem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promoção pessoal de autoridades ou servidores públicos;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</w:t>
      </w:r>
      <w:proofErr w:type="gramEnd"/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 - repasses como contribuições, auxílios ou subvenções às instituições privadas com fins lucrativos;</w:t>
      </w:r>
    </w:p>
    <w:p w:rsidR="00692DAF" w:rsidRDefault="00AC7DD0">
      <w:pPr>
        <w:spacing w:before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VII - pagar, a qualquer título, vereador, servidor ou empregado público, inclusive àquele que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exerça cargo em comissão ou função de confiança de órgão ou entidade da administração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pública direta e indireta municipal, bem como seus respectivos cônjuges, companheiros ou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parentes, até o segundo grau, em linha reta colateral ou por afinidade, com recursos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vinculados à parceria, salvo nas hipóteses previstas em lei específica e na lei de diretrizes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orçamentárias.</w:t>
      </w:r>
    </w:p>
    <w:p w:rsidR="008908D1" w:rsidRDefault="008908D1" w:rsidP="008908D1">
      <w:pPr>
        <w:spacing w:before="12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210AB5" w:rsidRDefault="00B75272" w:rsidP="00B75272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CLÁUSULA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SEXT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 - DA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VIGÊNCI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</w:p>
    <w:p w:rsidR="009E3A27" w:rsidRPr="001B45FB" w:rsidRDefault="00AC7DD0" w:rsidP="009E3A27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6.1 - O presente Ter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mo de Fomento vigerá a partir de 01 de Janeiro de 2019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até </w:t>
      </w:r>
      <w:r w:rsidR="00882B40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31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Dezembro de </w:t>
      </w:r>
      <w:r w:rsidR="00D37336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</w:t>
      </w:r>
      <w:r w:rsidR="009E3A27" w:rsidRPr="001B45F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210AB5" w:rsidRDefault="00AC7DD0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6.2 — Sempre que necessário, mediante proposta da </w:t>
      </w:r>
      <w:r w:rsidRPr="00210AB5">
        <w:rPr>
          <w:rFonts w:ascii="Arial" w:hAnsi="Arial" w:cs="Arial"/>
          <w:b/>
          <w:color w:val="000000"/>
          <w:spacing w:val="-1"/>
          <w:w w:val="105"/>
          <w:sz w:val="23"/>
          <w:szCs w:val="23"/>
          <w:lang w:val="pt-BR"/>
        </w:rPr>
        <w:t xml:space="preserve">ENTIDADE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devidamente justificada e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vigência do presente Termo de Fomento.</w:t>
      </w:r>
    </w:p>
    <w:p w:rsidR="00692DAF" w:rsidRDefault="00AC7DD0">
      <w:pPr>
        <w:spacing w:before="180" w:line="264" w:lineRule="exact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6.3 — Toda e qualquer prorrogação, inclusive a referida no item anterior, deverá 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formalizada por termo aditivo, a ser celebrado pelos partícipes antes do término da vigência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do Termo de Fomento ou da última dilação de prazo, sendo expressamente vedada 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celebração de termo aditivo com atribuição de vigência ou efeitos financeiros retroativos.</w:t>
      </w:r>
    </w:p>
    <w:p w:rsidR="008908D1" w:rsidRPr="00210AB5" w:rsidRDefault="008908D1" w:rsidP="008908D1">
      <w:pPr>
        <w:spacing w:before="120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</w:p>
    <w:p w:rsidR="00692DAF" w:rsidRPr="00210AB5" w:rsidRDefault="00AC7DD0">
      <w:pPr>
        <w:spacing w:before="324" w:line="288" w:lineRule="exact"/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  <w:lastRenderedPageBreak/>
        <w:t>CLÁUSULA SÉTIMA — DO MONITORAMENTO, DO ACOMPANHAMENTO E DA FISCALIZAÇÃO.</w:t>
      </w:r>
    </w:p>
    <w:p w:rsidR="00692DAF" w:rsidRPr="00210AB5" w:rsidRDefault="00AC7DD0">
      <w:pPr>
        <w:spacing w:before="180" w:line="268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7.1 - O relatório técnico a qu</w:t>
      </w:r>
      <w:r w:rsidR="008B217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e se refere 'o art. 59 da Lei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13.019/2014, sem prejuízo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outros elementos, deverá conter:</w:t>
      </w:r>
    </w:p>
    <w:p w:rsidR="00692DAF" w:rsidRPr="00210AB5" w:rsidRDefault="00AC7DD0">
      <w:pPr>
        <w:spacing w:before="180" w:line="279" w:lineRule="exact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 - descrição sumária das atividades e metas estabelecidas;</w:t>
      </w:r>
    </w:p>
    <w:p w:rsidR="00692DAF" w:rsidRPr="00210AB5" w:rsidRDefault="00AC7DD0">
      <w:pPr>
        <w:spacing w:before="180" w:line="273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 - análise das atividades realizadas, do cumprimento das metas e do impacto do benefício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social obtido em razão da execução do objeto até o período, com base nos indicadores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e aprovados no plano de trabalho;</w:t>
      </w:r>
    </w:p>
    <w:p w:rsidR="00692DAF" w:rsidRPr="00210AB5" w:rsidRDefault="00AC7DD0">
      <w:pPr>
        <w:spacing w:before="180" w:line="271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III - valores efetivamente transferidos pela administração pública;</w:t>
      </w:r>
    </w:p>
    <w:p w:rsidR="00692DAF" w:rsidRPr="00210AB5" w:rsidRDefault="00AC7DD0">
      <w:pPr>
        <w:spacing w:before="180" w:line="268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IV - análise dos documentos comprobatórios das despesas apresentados pela entidade na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prestação de contas, quando não for comprovado o alcance das metas e resultados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no respectivo termo de colaboração;</w:t>
      </w:r>
    </w:p>
    <w:p w:rsidR="00692DAF" w:rsidRPr="00210AB5" w:rsidRDefault="00AC7DD0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análise de eventuais auditorias realizadas pelos controles interno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 externo, no âmbito da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fiscalização preventiva, bem como de suas conclusões e das medidas que tomaram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decorrência dessas auditorias.</w:t>
      </w:r>
    </w:p>
    <w:p w:rsidR="00692DAF" w:rsidRPr="00210AB5" w:rsidRDefault="00AC7DD0">
      <w:pPr>
        <w:spacing w:before="180" w:line="263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por ato próprio e independentemente desautorização judicial, a fim de realizar ou manter a </w:t>
      </w:r>
      <w:r w:rsidRPr="00210AB5">
        <w:rPr>
          <w:rFonts w:ascii="Arial" w:hAnsi="Arial" w:cs="Arial"/>
          <w:color w:val="000000"/>
          <w:spacing w:val="-4"/>
          <w:w w:val="115"/>
          <w:sz w:val="23"/>
          <w:szCs w:val="23"/>
          <w:lang w:val="pt-BR"/>
        </w:rPr>
        <w:t xml:space="preserve">execução das metas ou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atividades pactuadas:</w:t>
      </w:r>
    </w:p>
    <w:p w:rsidR="00692DAF" w:rsidRPr="00210AB5" w:rsidRDefault="00AC7DD0">
      <w:pPr>
        <w:spacing w:before="144" w:line="275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 - retomar os bens públicos em poder dá organização da sociedade civil parceira, qualquer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que tenha sido a modalidade ou título que; concedeu direitos de uso de tais bens;</w:t>
      </w:r>
    </w:p>
    <w:p w:rsidR="00692DAF" w:rsidRPr="00210AB5" w:rsidRDefault="00AC7DD0" w:rsidP="00103094">
      <w:pPr>
        <w:spacing w:before="180" w:after="972" w:line="299" w:lineRule="exact"/>
        <w:jc w:val="both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 - assumir a responsabilidade pela exe</w:t>
      </w:r>
      <w:r w:rsidRPr="00210AB5">
        <w:rPr>
          <w:rFonts w:ascii="Arial" w:hAnsi="Arial" w:cs="Arial"/>
          <w:color w:val="000000"/>
          <w:spacing w:val="3"/>
          <w:w w:val="65"/>
          <w:sz w:val="23"/>
          <w:szCs w:val="23"/>
          <w:lang w:val="pt-BR"/>
        </w:rPr>
        <w:t>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ução do restante do objeto previsto no plano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trabalho, no caso de paralisação, de modo a evitar sua descontinuidade, devendo ser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considerado na prestação de contas o </w:t>
      </w:r>
      <w:r w:rsidR="00103094"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que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foi executado pela entidade até o momento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que a administração assumiu essas </w:t>
      </w:r>
      <w:r w:rsidR="00103094"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210AB5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210AB5">
          <w:headerReference w:type="default" r:id="rId9"/>
          <w:footerReference w:type="default" r:id="rId10"/>
          <w:pgSz w:w="11918" w:h="16854"/>
          <w:pgMar w:top="700" w:right="1006" w:bottom="127" w:left="1094" w:header="720" w:footer="720" w:gutter="0"/>
          <w:cols w:space="720"/>
        </w:sectPr>
      </w:pPr>
    </w:p>
    <w:p w:rsidR="00692DAF" w:rsidRPr="00210AB5" w:rsidRDefault="00AC7DD0">
      <w:pPr>
        <w:spacing w:before="144" w:line="266" w:lineRule="auto"/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lastRenderedPageBreak/>
        <w:t>CLÁUSULA OITAVA - DA PRESTAÇÃO DE CONTAS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8.1 - A prestação de contas apresentada pela Organização da Sociedade Civil (OSC) deverá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conter elementos que permitam ao gestor da parceria avaliar o andamento ou concluir que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seu objeto foi executado conforme pactuado, com a descrição pormenorizada das atividades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realizadas e a comprovação do alcance das metas e dos resultados esperados, bem como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com observância ao que dispõe o Manual de Prestação de Contas, a exemplo, dentre outros,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das seguintes informações e documentos: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— extrato da conta bancária específica;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notas e comprovantes fiscais, inclusive recibos, com data do documento, valor, dados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entidade e número do instrumento da parceria;</w:t>
      </w:r>
    </w:p>
    <w:p w:rsidR="00692DAF" w:rsidRPr="00210AB5" w:rsidRDefault="00AC7DD0">
      <w:pPr>
        <w:spacing w:before="288" w:line="360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III - comprovante do recolhimento do saldo da conta bancária específica, quando houver;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material </w:t>
      </w:r>
      <w:r w:rsidR="0075133E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comprobatório do cumprimento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em fotos, vídeos, relatórios ou outros suportes;</w:t>
      </w:r>
    </w:p>
    <w:p w:rsidR="00692DAF" w:rsidRPr="00210AB5" w:rsidRDefault="00AC7DD0">
      <w:pPr>
        <w:spacing w:before="216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 — comprovante de publicação na internet.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>1.</w:t>
      </w:r>
      <w:proofErr w:type="gramEnd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° Serão glosados valores relacionados a metas e resultados descumpridos sem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justificativa suficiente.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2.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A entidade prestará contas da boa e regular aplicação dos recursos no prazo de 30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(trinta) dias a contar do depósito para o caso de duas ou mais parcelas e dentro de 60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(sessenta) dias para o caso de parcela única, e, em ambos os casos, com tolerância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máxima de 10 dias após este período, sob pena de bloqueio das parcelas subsequentes,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e/ou devolução do recurso e/ou rescisão deste instrumento.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8.2 - A prestação de contas relativa à execução do Termo de Fomento dar-se-á mediante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análise dos documentos previstos no plano de trabalho, bem como dos seguintes relatórios: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relatório de execução do objeto, elaborado pela Organização da Sociedade Civil (OSC),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contendo as atividades ou projetos desenvolvidos para o cumprimento do objeto e 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comparativo de metas propostas com os resultados alcançados;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relatório de execução financeira do Termo de Fomento, com a descrição das despesas 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receitas efetivamente realizadas e sua vinculação com a execução do objeto, na hipótese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descumprimento de metas e resultados estabelecidos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lastRenderedPageBreak/>
        <w:t xml:space="preserve">8.3 - A Administração pública municipal considerará ainda em sua análise os seguintes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relatórios elaborados internamente, quando houver: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relatório da visita técnica in loco realizada durante a execução da parceria;</w:t>
      </w:r>
    </w:p>
    <w:p w:rsidR="008908D1" w:rsidRDefault="00AC7DD0" w:rsidP="008908D1">
      <w:pPr>
        <w:spacing w:before="18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Il - relatório técnico de monitoramento e avaliação, homologado pela comissão de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monitoramento e avaliação designada, sobre a conformidade do cumprimento- •o objeto e 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resultados alcançados durante a execução do Termo de Fomento.</w:t>
      </w:r>
    </w:p>
    <w:p w:rsidR="00692DAF" w:rsidRPr="00210AB5" w:rsidRDefault="00AC7DD0" w:rsidP="008908D1">
      <w:pPr>
        <w:spacing w:before="180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8.4 - Os pareceres técnicos do gestor acerca da prestação de contas, de que trata o art. 67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da Lei n° 13.019, de 2014, deverão conter análise de eficácia e de efetividade das ações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quanto: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os resultados já alcançados e seus benefícios;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II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- os impactos econômicos ou sociais;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III </w:t>
      </w:r>
      <w:r w:rsidR="00AC7DD0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- o grau de satisfação do público-alvo;</w:t>
      </w:r>
    </w:p>
    <w:p w:rsidR="00692DAF" w:rsidRPr="00210AB5" w:rsidRDefault="00AC7DD0">
      <w:pPr>
        <w:spacing w:before="288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IV - a possibilidade de sustentabilidade </w:t>
      </w:r>
      <w:r w:rsidR="0075133E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das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ações após a conclusão do objeto pactuado.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8.5 - A manifestação conclusiva sobre a prestação de contas pela administração pública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observará os prazos previstos na Lei n° 13.019, de 2014, devendo concluir, alternativamente,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pela:</w:t>
      </w:r>
    </w:p>
    <w:p w:rsidR="00E02820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</w:p>
    <w:p w:rsidR="00692DAF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- aprovação da prestação de contas;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aprovação da prestação de contas com ressalvas; </w:t>
      </w: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ou</w:t>
      </w:r>
      <w:proofErr w:type="gramEnd"/>
    </w:p>
    <w:p w:rsidR="00692DAF" w:rsidRPr="00210AB5" w:rsidRDefault="00E02820">
      <w:pPr>
        <w:spacing w:before="252"/>
        <w:ind w:right="43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III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- rejeição da prestação de contas e determinação de imediata instauração de tomada de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contas especial.</w:t>
      </w:r>
    </w:p>
    <w:p w:rsidR="00692DAF" w:rsidRPr="00210AB5" w:rsidRDefault="00AC7DD0">
      <w:pPr>
        <w:spacing w:before="288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8.6 - Constatada irregularidade ou omissão na prestação de contas, será concedido prazo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 a entidade sanar a irregularidade ou cumprir a obrigação.</w:t>
      </w:r>
    </w:p>
    <w:p w:rsidR="00692DAF" w:rsidRPr="00210AB5" w:rsidRDefault="00AC7DD0">
      <w:pPr>
        <w:spacing w:before="288"/>
        <w:ind w:right="43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§ 1° O prazo referido no caput é limitado a 15 (quinze dias) dias por notificação, prorrogável,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no máximo, por igual período, dentro dó prazo que a administração pública possui para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analisar e decidir sobre a prestação de contas e comprovação de resultados.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§ 2° Transcorrido o prazo para saneamento da irregularidade ou da omissão, não havendo 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saneamento, a autoridade administrativa competente,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responsabilidade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solidária, deve adotar as providências para apuração dos fatos, identificação dos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responsáveis, quantificação do dano e obtenção do ressarcimento, nos termos da legislação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vigente.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8.7 - A administração pública apreciará a prestação final de contas apresentada, no prazo de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até cento e cinquenta dias, contado da data de seu recebimento ou do cumprimento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diligência por ela determinada, prorrogável justificadamente por igual período.</w:t>
      </w:r>
    </w:p>
    <w:p w:rsidR="00692DAF" w:rsidRPr="00210AB5" w:rsidRDefault="00AC7DD0">
      <w:pPr>
        <w:spacing w:before="252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Parágrafo único. O transcurso do prazo definido nos termos do </w:t>
      </w:r>
      <w:r w:rsidRPr="00210AB5">
        <w:rPr>
          <w:rFonts w:ascii="Arial" w:hAnsi="Arial" w:cs="Arial"/>
          <w:b/>
          <w:color w:val="000000"/>
          <w:spacing w:val="-8"/>
          <w:sz w:val="23"/>
          <w:szCs w:val="23"/>
          <w:lang w:val="pt-BR"/>
        </w:rPr>
        <w:t xml:space="preserve">caput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sem que as contas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tenham sido apreciadas:</w:t>
      </w:r>
    </w:p>
    <w:p w:rsidR="0061042A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I - não significa impossibilidade de apreciação em data posterior ou vedação a que se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adotem medidas saneadoras, punitivas </w:t>
      </w:r>
      <w:r w:rsidR="00E0282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ou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destinadas a ressarcir danos que possam ter sido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causados aos cofres públicos;</w:t>
      </w:r>
    </w:p>
    <w:p w:rsidR="00692DAF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II - nos casos em que não for constatado</w:t>
      </w:r>
      <w:r w:rsidR="0061042A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dolo da organização da sociedade civil ou de seus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prepostos, sem prejuízo da atualização mone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tária, impede a incidência de ju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ros de mora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sobre débitos eventualmente apurados, no período entre o final do prazo referido neste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parágrafo e a data em que foi ultimada a apreciação pela administração pública.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8.8 - As prestações de contas serão avaliadas: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regulares, quando expressarem, de forma clara e objetiva, o cumprimento dos objetivos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metas estabelecidos no plano de trabalho;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regulares com ressalva, quando evidenciarem impropriedade ou qualquer outra falta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natureza formal que não resulte em dano ao erário;</w:t>
      </w:r>
    </w:p>
    <w:p w:rsidR="00692DAF" w:rsidRPr="00210AB5" w:rsidRDefault="00AC7DD0">
      <w:pPr>
        <w:spacing w:before="252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III - irregulares, quando comprovada qualquer das seguintes circunstâncias: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rPr>
          <w:rFonts w:ascii="Arial" w:hAnsi="Arial" w:cs="Arial"/>
          <w:color w:val="000000"/>
          <w:spacing w:val="1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omissão</w:t>
      </w:r>
      <w:proofErr w:type="gramEnd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 no dever de prestar contas;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descumprimento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injustificado dos objetivos e metas estabelecidos no plano de trabalho;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dano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erário decorrente de ato de gestão ilegítimo ou antieconômico;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desfalque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ou desvio de dinheiro, bens ou valores públicos.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8.9 - O administrador público responde pela decisão sobre a aprovação da prestação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contas ou por omissão em relação à análise de3seu conteúdo, levando em consideração, no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primeiro caso, os pareceres técnico, financeiro e jurídico, sendo permitida delegação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autoridades diretamente subordinadas, vedada a subdelegação.</w:t>
      </w:r>
    </w:p>
    <w:p w:rsidR="00692DAF" w:rsidRPr="00210AB5" w:rsidRDefault="00AC7DD0">
      <w:pPr>
        <w:spacing w:before="288"/>
        <w:ind w:right="360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8.10 - Quando a prestação de contas for avaliada como irregular, </w:t>
      </w: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exaurida a fase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recursal, se mantida a decisão, a organização da sociedade civil poderá solicitar autorização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para que o ressarcimento ao erário seja promovido por meio de ações compensatórias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interesse público, mediante a apresentação de novo plano de trabalho, conforme o objeto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descrito no Termo de Colaboração ou de Fomento e a área de atuação da organização, cuja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mensuração econômica será feita a partir do plano de trabalho original, desde que não tenha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havido dolo ou fraude e não seja o caso de restituição integral dos recursos.</w:t>
      </w:r>
    </w:p>
    <w:p w:rsidR="00692DAF" w:rsidRPr="00210AB5" w:rsidRDefault="00AC7DD0">
      <w:pPr>
        <w:spacing w:before="252"/>
        <w:ind w:right="36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8.11 - Durante o prazo de 10 (dez) anos, contado do dia útil subsequente ao da prestação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contas, a entidade deve manter em seu arquivo os documentos originais que compõem 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prestação de contas.</w:t>
      </w:r>
    </w:p>
    <w:p w:rsidR="00692DAF" w:rsidRPr="00210AB5" w:rsidRDefault="00AC7DD0">
      <w:pPr>
        <w:spacing w:before="504" w:line="276" w:lineRule="auto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t>CLÁUSULA NONA - DAS ALTERAÇÕES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9.1 — A presente parceria poderá ser alterada a qualquer tempo, mediante assinatura de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termo aditivo, devendo a solicitação ser encaminhada com antecedência mínima de 30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(trinta) dias em relação à data de término de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sua, vigência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88"/>
        <w:ind w:right="360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9.2 - Não é permitida a celebração de aditamento deste Termo de Fomento com alteração da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natureza do objeto.</w:t>
      </w:r>
    </w:p>
    <w:p w:rsidR="00692DAF" w:rsidRPr="00210AB5" w:rsidRDefault="00AC7DD0" w:rsidP="009E3A27">
      <w:pPr>
        <w:spacing w:before="144" w:after="7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9.3 — As alterações, com exceção das que tenham por finalidade meramente prorrogar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prazo de vigência do ajuste, deverão ser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previamente submetid</w: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as </w:t>
      </w:r>
      <w:proofErr w:type="gramStart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à</w:t>
      </w:r>
      <w:proofErr w:type="gramEnd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Procura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ria Geral do</w:t>
      </w: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DD5E2A" wp14:editId="4C72499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Município, órgão ao qual deverão os autos ser encaminhados em prazo hábil para análise 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parecer.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9.4 — É obrigatório o aditamento do presente instrumento, quando se fizer necessária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efetivação de alterações que tenham por objetivo a mudança de valor, das metas, do prazo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vigência ou a utilização de recursos remanescentes do saldo do Termo de Fomento.</w:t>
      </w:r>
    </w:p>
    <w:p w:rsidR="00692DAF" w:rsidRPr="00210AB5" w:rsidRDefault="00AC7DD0" w:rsidP="009E3A27">
      <w:pPr>
        <w:spacing w:before="540" w:line="278" w:lineRule="auto"/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 xml:space="preserve">CLÁUSULA DÉCIMA </w:t>
      </w:r>
      <w:r w:rsidRPr="00210AB5">
        <w:rPr>
          <w:rFonts w:ascii="Arial" w:hAnsi="Arial" w:cs="Arial"/>
          <w:b/>
          <w:color w:val="000000"/>
          <w:spacing w:val="-11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>DAS RESPONSABILIZAÇÕES E DAS SANÇÕES</w:t>
      </w:r>
    </w:p>
    <w:p w:rsidR="00692DAF" w:rsidRPr="00210AB5" w:rsidRDefault="00AC7DD0" w:rsidP="009E3A27">
      <w:pPr>
        <w:spacing w:before="216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10.1 - Pela execução da parceria em desacordo com o plano de trabalho e com as normas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da Lei n° 13.019, de 2014, e da legislação específica, a administração pública poderá,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garantida a prévia defesa, aplicar a entidade parceira as seguintes sanções:</w:t>
      </w:r>
    </w:p>
    <w:p w:rsidR="00692DAF" w:rsidRPr="00210AB5" w:rsidRDefault="00AC7DD0" w:rsidP="009E3A27">
      <w:pPr>
        <w:spacing w:before="252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I - advertência;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II - suspensão temporária da participação em chamamento público e impedimento de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celebrar parceria ou contrato com órgãos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é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entidades da esfera de governo da administração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pública sancionadora, por prazo não superior a dois anos;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III - declaração de inidoneidade para participar de chamamento público ou celebrar parceria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ou contrato com órgãos e entidades de todas as esferas de governo, enquanto perdurarem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motivos determinantes da punição ou até que seja promovida a reabilitação perante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decorrido o prazo da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sanção aplicada com base no inciso II.</w:t>
      </w:r>
    </w:p>
    <w:p w:rsidR="00692DAF" w:rsidRPr="00210AB5" w:rsidRDefault="00AC7DD0" w:rsidP="00E70488">
      <w:pPr>
        <w:spacing w:before="252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 dez dias da abertura de vista, podendo a reabilitação ser requerida após dois anos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aplicação da penalidade.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10.2 - Prescreve em cinco anos, contados a partir da data da apresentação da prestação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contas, a aplicação de penalidade decorrente de infração relacionada à execução da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parceria.</w:t>
      </w:r>
    </w:p>
    <w:p w:rsidR="00692DAF" w:rsidRPr="00210AB5" w:rsidRDefault="00AC7DD0" w:rsidP="00E70488">
      <w:pPr>
        <w:spacing w:before="252"/>
        <w:ind w:right="216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10.3 - A prescrição será interrompida com a edição de ato administrativo voltado à apuração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da infração.</w:t>
      </w:r>
    </w:p>
    <w:p w:rsidR="00692DAF" w:rsidRPr="00210AB5" w:rsidRDefault="00AC7DD0" w:rsidP="00E70488">
      <w:pPr>
        <w:spacing w:before="504" w:line="283" w:lineRule="auto"/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 xml:space="preserve">CLÁUSULA DÉCIMA PRIMEIRA </w:t>
      </w: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>DOS BENS REMANESCENTES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11.1 - Para os fins deste ajuste, consideram-se bens remanescentes os de natureza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permanente adquiridos com recursos financeiros envolvidos na parceria, necessários à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consecução do objeto, mas que </w:t>
      </w:r>
      <w:r w:rsidRPr="00210AB5">
        <w:rPr>
          <w:rFonts w:ascii="Arial" w:hAnsi="Arial" w:cs="Arial"/>
          <w:color w:val="000000"/>
          <w:w w:val="115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ele não se incorporam.</w:t>
      </w:r>
    </w:p>
    <w:p w:rsidR="008908D1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11.2 — Para os fins deste Termo, equiparam-se a bens remanescentes os bens 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equipa</w:t>
      </w:r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mentos eventualmente </w:t>
      </w:r>
      <w:proofErr w:type="gramStart"/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adquiridos/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produzidos</w:t>
      </w:r>
      <w:proofErr w:type="gramEnd"/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, transformados ou construídos com os </w:t>
      </w:r>
      <w:r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recursos aplicado</w:t>
      </w:r>
      <w:r w:rsidR="00337917"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s em razão do Termo de Fomento.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</w:t>
      </w:r>
    </w:p>
    <w:p w:rsidR="00692DAF" w:rsidRPr="00210AB5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11.3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Os bens remanescentes serão de </w:t>
      </w:r>
      <w:r w:rsidR="00337917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propriedade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Organização da Sociedade Civil 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gravados com cláusula de inalienabilidade, devendo a organização </w:t>
      </w:r>
      <w:proofErr w:type="gramStart"/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da sociedade civil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formalizar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promessa de transferência da propriedade à administração pública, na hipótese 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sua extinção.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11.4 — Os bens remanescentes adquiridos com recursos transferidos poderão, a critério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administrador público, ser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não forem necessários para assegurar a continuidade do objeto pactuado.</w:t>
      </w:r>
    </w:p>
    <w:p w:rsidR="00692DAF" w:rsidRPr="00210AB5" w:rsidRDefault="00AC7DD0" w:rsidP="00E70488">
      <w:pPr>
        <w:spacing w:before="576" w:line="480" w:lineRule="auto"/>
        <w:ind w:right="2664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CLÁUSULA DÉCIMA SEGUNDA - DA DENÚNCIA E DA RESCISÃO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12.1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presente Termo de Fomento poderá ser:</w:t>
      </w:r>
    </w:p>
    <w:p w:rsidR="00692DAF" w:rsidRPr="00210AB5" w:rsidRDefault="00AC7DD0">
      <w:pPr>
        <w:spacing w:before="144"/>
        <w:ind w:left="216" w:right="216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lastRenderedPageBreak/>
        <w:t xml:space="preserve">I - denunciado a qualquer tempo, ficando os partícipes responsáveis somente pelas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obrigações e auferindo as vantagens do tempo em que participaram voluntariamente da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avença, respeitado o prazo mínimo de 60 (sessenta) dias de antecedência para a publicidade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dessa intenção;</w:t>
      </w:r>
    </w:p>
    <w:p w:rsidR="00692DAF" w:rsidRPr="00210AB5" w:rsidRDefault="00AC7DD0">
      <w:pPr>
        <w:spacing w:before="180"/>
        <w:ind w:left="216" w:right="216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rescindido, independente de prévia notificação ou interpelação judicial ou extrajudicial,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nas seguintes hipóteses: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utilização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dos recursos em desacordo com o Plano de</w:t>
      </w:r>
      <w:r w:rsidR="007C255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Trabalho;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inadimplemento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quaisquer das cláusulas pactuadas;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constatação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, a qualquer tempo, de falsidade ou incorreção em qualquer documento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apresentado; e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verificação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ocorrência de qualquer circunstância que enseje a instauração de Tomada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 Contas Especial.</w:t>
      </w:r>
    </w:p>
    <w:p w:rsidR="00692DAF" w:rsidRPr="00210AB5" w:rsidRDefault="00AC7DD0">
      <w:pPr>
        <w:spacing w:before="540" w:line="268" w:lineRule="auto"/>
        <w:ind w:left="216"/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CLÁUSULA DÉCIMA TERCEIRA - DA PUBLICIDADE</w:t>
      </w:r>
    </w:p>
    <w:p w:rsidR="00692DAF" w:rsidRPr="00210AB5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13.1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 eficácia do presente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Termo de Fomento ou dos aditamentos que impliquem 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alteração ou ampliação da execução do objeto descrito neste instrumento, fica condicionada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à publicação do respectivo extrato no Diário Oficial do Município, a qual deverá ser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providenciada pela administração pública municipal.</w:t>
      </w:r>
    </w:p>
    <w:p w:rsidR="00692DAF" w:rsidRPr="00210AB5" w:rsidRDefault="00AC7DD0">
      <w:pPr>
        <w:spacing w:before="504" w:line="288" w:lineRule="auto"/>
        <w:ind w:left="216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CLÁUSULA DÉCIMA QUARTA - DAS CONDIÇÕES GERAIS</w:t>
      </w:r>
    </w:p>
    <w:p w:rsidR="00692DAF" w:rsidRPr="00210AB5" w:rsidRDefault="00AC7DD0">
      <w:pPr>
        <w:spacing w:before="216" w:line="271" w:lineRule="auto"/>
        <w:ind w:left="216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14.1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Acordam 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partícipes, ainda, em estabelecer as seguintes condições:</w:t>
      </w:r>
    </w:p>
    <w:p w:rsidR="00692DAF" w:rsidRPr="00210AB5" w:rsidRDefault="00D4153A" w:rsidP="00925197">
      <w:pPr>
        <w:spacing w:before="216"/>
        <w:ind w:left="216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EBCB71" wp14:editId="63E855FC">
                <wp:simplePos x="0" y="0"/>
                <wp:positionH relativeFrom="column">
                  <wp:posOffset>5510530</wp:posOffset>
                </wp:positionH>
                <wp:positionV relativeFrom="paragraph">
                  <wp:posOffset>287020</wp:posOffset>
                </wp:positionV>
                <wp:extent cx="895985" cy="180975"/>
                <wp:effectExtent l="0" t="0" r="18415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FB524D">
                            <w:pPr>
                              <w:spacing w:after="288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re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cebimento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3.9pt;margin-top:22.6pt;width:70.55pt;height:14.2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up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" filled="f" stroked="f">
                <v:textbox inset="0,0,0,0">
                  <w:txbxContent>
                    <w:p w:rsidR="00692DAF" w:rsidRDefault="00FB524D">
                      <w:pPr>
                        <w:spacing w:after="288"/>
                        <w:ind w:right="144"/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re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cebimento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DD0"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495210" wp14:editId="70DE017B">
                <wp:simplePos x="0" y="0"/>
                <wp:positionH relativeFrom="column">
                  <wp:posOffset>5367655</wp:posOffset>
                </wp:positionH>
                <wp:positionV relativeFrom="paragraph">
                  <wp:posOffset>9525</wp:posOffset>
                </wp:positionV>
                <wp:extent cx="1200150" cy="281305"/>
                <wp:effectExtent l="0" t="0" r="0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9E3A27">
                            <w:pPr>
                              <w:spacing w:before="144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co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rrespondência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65pt;margin-top:.75pt;width:94.5pt;height:22.1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jg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" filled="f" stroked="f">
                <v:textbox inset="0,0,0,0">
                  <w:txbxContent>
                    <w:p w:rsidR="00692DAF" w:rsidRDefault="009E3A27">
                      <w:pPr>
                        <w:spacing w:before="144"/>
                        <w:ind w:right="144"/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co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rrespondência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 -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as comunicações relativas a este Termo de Fomento serão remetidas po</w: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>r</w:t>
      </w:r>
      <w:proofErr w:type="gramStart"/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9E3A27">
        <w:rPr>
          <w:rFonts w:ascii="Arial" w:hAnsi="Arial" w:cs="Arial"/>
          <w:color w:val="000000"/>
          <w:sz w:val="23"/>
          <w:szCs w:val="23"/>
          <w:lang w:val="pt-BR"/>
        </w:rPr>
        <w:t xml:space="preserve"> 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</w:t>
      </w:r>
      <w:proofErr w:type="gramEnd"/>
      <w:r w:rsidR="009E3A2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ou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e-mail e serão consideradas regularmente efetuadas quando comprovad</w:t>
      </w:r>
      <w:r w:rsidR="00FB524D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</w:t>
      </w:r>
    </w:p>
    <w:p w:rsidR="00692DAF" w:rsidRPr="00210AB5" w:rsidRDefault="00AC7DD0">
      <w:pPr>
        <w:spacing w:before="468"/>
        <w:ind w:left="144" w:right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prazo de cinco dias;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e</w:t>
      </w:r>
      <w:proofErr w:type="gramEnd"/>
    </w:p>
    <w:p w:rsidR="00692DAF" w:rsidRPr="00210AB5" w:rsidRDefault="00925197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</w:pPr>
      <w:r w:rsidRPr="00D4153A">
        <w:rPr>
          <w:rFonts w:ascii="Arial" w:hAnsi="Arial" w:cs="Arial"/>
          <w:spacing w:val="-1"/>
          <w:w w:val="45"/>
          <w:sz w:val="23"/>
          <w:szCs w:val="23"/>
          <w:lang w:val="pt-BR"/>
        </w:rPr>
        <w:t>III</w:t>
      </w:r>
      <w:r w:rsidRPr="00210AB5"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  <w:t xml:space="preserve"> -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as reuniões entre os representantes credenciados pelos partícipes, bem como quaisquer </w:t>
      </w:r>
      <w:r w:rsidR="00AC7DD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ocorrências que possam ter implicações neste Termo de Fomento, serão aceitas somente se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registradas em ata ou relatórios circunstanciados.</w:t>
      </w:r>
    </w:p>
    <w:p w:rsidR="00692DAF" w:rsidRPr="00210AB5" w:rsidRDefault="00AC7DD0">
      <w:pPr>
        <w:spacing w:before="504" w:line="264" w:lineRule="auto"/>
        <w:ind w:left="144"/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lastRenderedPageBreak/>
        <w:t xml:space="preserve">CLÁUSULA DÉCIMA QUINTA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>DO FORO</w:t>
      </w:r>
    </w:p>
    <w:p w:rsidR="00692DAF" w:rsidRPr="00210AB5" w:rsidRDefault="00AC7DD0">
      <w:pPr>
        <w:spacing w:before="252"/>
        <w:ind w:left="144" w:right="14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15.1 - Fica eleito o Foro da Comarca de Chapecó, Estado de Santa Catarina, para dirimir as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questões decorrentes da execução do presente Termo de Fomento, com renúncia expressa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de qualquer outro, por mais privilegiado que seja ou possa ser.</w:t>
      </w:r>
    </w:p>
    <w:p w:rsidR="00692DAF" w:rsidRPr="00210AB5" w:rsidRDefault="00AC7DD0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15.2 - E, por assim estarem plenamente de acordo, os partícipes obrigam-se ao total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irrenunciável cumprimento dos termos do presente instrumento, o qual lido e achado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conforme, foi lavrado em 03 (três) vias de igual teor e forma, que vão assinadas pelos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partícipes, para que produza seus jurídicos e legais efeitos, em Juízo ou fora dele.</w:t>
      </w:r>
    </w:p>
    <w:p w:rsidR="00692DAF" w:rsidRPr="00210AB5" w:rsidRDefault="00AC7DD0">
      <w:pPr>
        <w:spacing w:before="504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Chapecó SC,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1</w:t>
      </w:r>
      <w:r w:rsidR="009E63EB">
        <w:rPr>
          <w:rFonts w:ascii="Arial" w:hAnsi="Arial" w:cs="Arial"/>
          <w:color w:val="000000"/>
          <w:sz w:val="23"/>
          <w:szCs w:val="23"/>
          <w:lang w:val="pt-BR"/>
        </w:rPr>
        <w:t>0</w:t>
      </w:r>
      <w:r w:rsidR="00392E4F">
        <w:rPr>
          <w:rFonts w:ascii="Arial" w:hAnsi="Arial" w:cs="Arial"/>
          <w:color w:val="00000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Dezembro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de 2018.</w:t>
      </w: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692DAF" w:rsidRPr="00392E4F" w:rsidRDefault="00D4153A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b/>
          <w:noProof/>
          <w:sz w:val="23"/>
          <w:szCs w:val="23"/>
          <w:lang w:val="pt-BR" w:eastAsia="pt-BR"/>
        </w:rPr>
      </w:pPr>
      <w:r>
        <w:rPr>
          <w:rFonts w:ascii="Arial" w:hAnsi="Arial" w:cs="Arial"/>
          <w:b/>
          <w:noProof/>
          <w:sz w:val="23"/>
          <w:szCs w:val="23"/>
          <w:lang w:val="pt-BR" w:eastAsia="pt-BR"/>
        </w:rPr>
        <w:t>ULDA BALDISSERA</w:t>
      </w:r>
    </w:p>
    <w:p w:rsidR="003D6C35" w:rsidRPr="00210AB5" w:rsidRDefault="00392E4F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noProof/>
          <w:sz w:val="23"/>
          <w:szCs w:val="23"/>
          <w:lang w:val="pt-BR" w:eastAsia="pt-BR"/>
        </w:rPr>
      </w:pPr>
      <w:r>
        <w:rPr>
          <w:rFonts w:ascii="Arial" w:hAnsi="Arial" w:cs="Arial"/>
          <w:noProof/>
          <w:sz w:val="23"/>
          <w:szCs w:val="23"/>
          <w:lang w:val="pt-BR" w:eastAsia="pt-BR"/>
        </w:rPr>
        <w:t>Secret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ri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Assistência Social</w:t>
      </w:r>
    </w:p>
    <w:p w:rsidR="003D6C35" w:rsidRDefault="003D6C35" w:rsidP="009E3A27">
      <w:pPr>
        <w:spacing w:after="252"/>
        <w:ind w:left="2124" w:right="3487"/>
        <w:rPr>
          <w:rFonts w:ascii="Arial" w:hAnsi="Arial" w:cs="Arial"/>
          <w:sz w:val="23"/>
          <w:szCs w:val="23"/>
          <w:lang w:val="pt-BR"/>
        </w:rPr>
      </w:pPr>
    </w:p>
    <w:p w:rsidR="009E3A27" w:rsidRPr="00210AB5" w:rsidRDefault="009E3A27" w:rsidP="009E3A27">
      <w:pPr>
        <w:spacing w:after="120"/>
        <w:ind w:left="2126" w:right="3487"/>
        <w:rPr>
          <w:rFonts w:ascii="Arial" w:hAnsi="Arial" w:cs="Arial"/>
          <w:sz w:val="23"/>
          <w:szCs w:val="23"/>
          <w:lang w:val="pt-BR"/>
        </w:rPr>
      </w:pPr>
    </w:p>
    <w:p w:rsidR="00692DAF" w:rsidRPr="00392E4F" w:rsidRDefault="004C56BB" w:rsidP="00392E4F">
      <w:pPr>
        <w:tabs>
          <w:tab w:val="right" w:pos="4121"/>
          <w:tab w:val="right" w:pos="8705"/>
        </w:tabs>
        <w:spacing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DIRCEU LUIZ HERMES</w:t>
      </w:r>
      <w:bookmarkStart w:id="0" w:name="_GoBack"/>
      <w:bookmarkEnd w:id="0"/>
    </w:p>
    <w:p w:rsidR="00692DAF" w:rsidRPr="00210AB5" w:rsidRDefault="00AC7DD0" w:rsidP="00392E4F">
      <w:pPr>
        <w:tabs>
          <w:tab w:val="right" w:pos="4121"/>
          <w:tab w:val="right" w:pos="7831"/>
        </w:tabs>
        <w:spacing w:after="120"/>
        <w:ind w:left="2304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Presidente 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da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Org</w:t>
      </w:r>
      <w:r w:rsidR="00925197"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aniza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ção da Sociedade Civil (OSC)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Testemunhas:</w:t>
      </w:r>
    </w:p>
    <w:p w:rsidR="00FB524D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Pr="00FE1ED2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_________________________________ _____________________________________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Nome:                                                        Nome: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 xml:space="preserve">CPF:                                                           CPF: </w:t>
      </w:r>
    </w:p>
    <w:p w:rsidR="00692DAF" w:rsidRPr="00210AB5" w:rsidRDefault="00692DAF">
      <w:pPr>
        <w:ind w:left="144" w:right="1188"/>
        <w:rPr>
          <w:rFonts w:ascii="Arial" w:hAnsi="Arial" w:cs="Arial"/>
          <w:sz w:val="23"/>
          <w:szCs w:val="23"/>
          <w:lang w:val="pt-BR"/>
        </w:rPr>
      </w:pPr>
    </w:p>
    <w:sectPr w:rsidR="00692DAF" w:rsidRPr="00210AB5"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EC" w:rsidRDefault="005C4FEC" w:rsidP="000766C3">
      <w:r>
        <w:separator/>
      </w:r>
    </w:p>
  </w:endnote>
  <w:endnote w:type="continuationSeparator" w:id="0">
    <w:p w:rsidR="005C4FEC" w:rsidRDefault="005C4FEC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2" w:rsidRDefault="00B75272" w:rsidP="006C1E50">
    <w:pPr>
      <w:pStyle w:val="Rodap"/>
      <w:rPr>
        <w:rFonts w:ascii="Arial" w:hAnsi="Arial" w:cs="Arial"/>
        <w:sz w:val="16"/>
      </w:rPr>
    </w:pPr>
  </w:p>
  <w:p w:rsidR="006C1E50" w:rsidRPr="006C1E50" w:rsidRDefault="009E3A27" w:rsidP="006C1E50">
    <w:pPr>
      <w:pStyle w:val="Rodap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</w:rPr>
      <w:tab/>
    </w:r>
    <w:r w:rsidRPr="00FE1ED2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</w:t>
    </w:r>
    <w:r w:rsidR="006C1E50">
      <w:rPr>
        <w:rFonts w:ascii="Arial" w:hAnsi="Arial" w:cs="Arial"/>
        <w:sz w:val="16"/>
        <w:lang w:val="pt-BR"/>
      </w:rPr>
      <w:t>J</w:t>
    </w:r>
    <w:r w:rsidR="006C1E50" w:rsidRPr="006C1E50">
      <w:rPr>
        <w:rFonts w:ascii="Arial" w:hAnsi="Arial" w:cs="Arial"/>
        <w:sz w:val="16"/>
        <w:lang w:val="pt-BR"/>
      </w:rPr>
      <w:t>AURO S. VON GEHLEN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Procurador – Geral Adjunto do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Município de Chapecó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   OAB/SC – 20.098-B</w:t>
    </w:r>
  </w:p>
  <w:p w:rsidR="000766C3" w:rsidRDefault="000766C3" w:rsidP="006C1E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EC" w:rsidRDefault="005C4FEC" w:rsidP="000766C3">
      <w:r>
        <w:separator/>
      </w:r>
    </w:p>
  </w:footnote>
  <w:footnote w:type="continuationSeparator" w:id="0">
    <w:p w:rsidR="005C4FEC" w:rsidRDefault="005C4FEC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0" w:rsidRPr="004365F8" w:rsidRDefault="006C1E50" w:rsidP="006C1E50">
    <w:pPr>
      <w:spacing w:before="9" w:after="35"/>
      <w:ind w:left="4176" w:right="4285"/>
      <w:rPr>
        <w:rFonts w:ascii="Arial" w:hAnsi="Arial" w:cs="Arial"/>
        <w:sz w:val="23"/>
        <w:szCs w:val="23"/>
      </w:rPr>
    </w:pPr>
    <w:r w:rsidRPr="004365F8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435FB6DA" wp14:editId="49F6ACC6">
          <wp:simplePos x="0" y="0"/>
          <wp:positionH relativeFrom="column">
            <wp:posOffset>2647315</wp:posOffset>
          </wp:positionH>
          <wp:positionV relativeFrom="paragraph">
            <wp:posOffset>69850</wp:posOffset>
          </wp:positionV>
          <wp:extent cx="933450" cy="1019175"/>
          <wp:effectExtent l="0" t="0" r="0" b="9525"/>
          <wp:wrapSquare wrapText="bothSides"/>
          <wp:docPr id="2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3"/>
        <w:szCs w:val="23"/>
      </w:rPr>
      <w:br w:type="textWrapping" w:clear="all"/>
    </w: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Pr="004365F8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365F8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6C1E50" w:rsidRPr="00FE1ED2" w:rsidRDefault="006C1E50">
    <w:pPr>
      <w:pStyle w:val="Cabealho"/>
      <w:rPr>
        <w:lang w:val="pt-BR"/>
      </w:rPr>
    </w:pPr>
  </w:p>
  <w:p w:rsidR="006C1E50" w:rsidRPr="00FE1ED2" w:rsidRDefault="006C1E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56DE"/>
    <w:rsid w:val="00103094"/>
    <w:rsid w:val="0011339F"/>
    <w:rsid w:val="00146321"/>
    <w:rsid w:val="00210AB5"/>
    <w:rsid w:val="002C7E71"/>
    <w:rsid w:val="00337917"/>
    <w:rsid w:val="00375BEA"/>
    <w:rsid w:val="00380437"/>
    <w:rsid w:val="00392E4F"/>
    <w:rsid w:val="003A27CD"/>
    <w:rsid w:val="003D6C35"/>
    <w:rsid w:val="004365F8"/>
    <w:rsid w:val="00466476"/>
    <w:rsid w:val="004C56BB"/>
    <w:rsid w:val="00543AF9"/>
    <w:rsid w:val="00564623"/>
    <w:rsid w:val="00572CF5"/>
    <w:rsid w:val="005B3037"/>
    <w:rsid w:val="005B3857"/>
    <w:rsid w:val="005C4FEC"/>
    <w:rsid w:val="00600B97"/>
    <w:rsid w:val="0061042A"/>
    <w:rsid w:val="00692DAF"/>
    <w:rsid w:val="006C1E50"/>
    <w:rsid w:val="0075133E"/>
    <w:rsid w:val="007C2550"/>
    <w:rsid w:val="00882B40"/>
    <w:rsid w:val="008908D1"/>
    <w:rsid w:val="008B2172"/>
    <w:rsid w:val="00923873"/>
    <w:rsid w:val="00925197"/>
    <w:rsid w:val="00992A65"/>
    <w:rsid w:val="009E3A27"/>
    <w:rsid w:val="009E63EB"/>
    <w:rsid w:val="00A17368"/>
    <w:rsid w:val="00A9378F"/>
    <w:rsid w:val="00AC7DD0"/>
    <w:rsid w:val="00AE37C3"/>
    <w:rsid w:val="00B734BB"/>
    <w:rsid w:val="00B75272"/>
    <w:rsid w:val="00B76745"/>
    <w:rsid w:val="00B9778A"/>
    <w:rsid w:val="00BF1C8F"/>
    <w:rsid w:val="00C126BE"/>
    <w:rsid w:val="00C54C08"/>
    <w:rsid w:val="00D37336"/>
    <w:rsid w:val="00D4153A"/>
    <w:rsid w:val="00DC25E6"/>
    <w:rsid w:val="00E02820"/>
    <w:rsid w:val="00E2686F"/>
    <w:rsid w:val="00E70488"/>
    <w:rsid w:val="00E76016"/>
    <w:rsid w:val="00EC17F3"/>
    <w:rsid w:val="00F01039"/>
    <w:rsid w:val="00F06B73"/>
    <w:rsid w:val="00FB5161"/>
    <w:rsid w:val="00FB524D"/>
    <w:rsid w:val="00FB6D4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1889-2F1B-4BFD-98A6-1FF213E5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4293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3</cp:revision>
  <cp:lastPrinted>2018-12-05T17:42:00Z</cp:lastPrinted>
  <dcterms:created xsi:type="dcterms:W3CDTF">2018-12-05T18:03:00Z</dcterms:created>
  <dcterms:modified xsi:type="dcterms:W3CDTF">2019-01-03T17:05:00Z</dcterms:modified>
</cp:coreProperties>
</file>