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53" w:rsidRPr="004549A7" w:rsidRDefault="005D2553" w:rsidP="00BC6CE0">
      <w:pPr>
        <w:spacing w:line="276" w:lineRule="auto"/>
        <w:ind w:right="-1"/>
        <w:jc w:val="center"/>
        <w:rPr>
          <w:b/>
          <w:lang w:val="pt-BR"/>
        </w:rPr>
      </w:pPr>
      <w:r w:rsidRPr="004549A7">
        <w:rPr>
          <w:b/>
          <w:lang w:val="pt-BR"/>
        </w:rPr>
        <w:t xml:space="preserve">ANEXO </w:t>
      </w:r>
      <w:bookmarkStart w:id="0" w:name="_GoBack"/>
      <w:bookmarkEnd w:id="0"/>
      <w:r w:rsidR="00C3651E" w:rsidRPr="004549A7">
        <w:rPr>
          <w:b/>
          <w:lang w:val="pt-BR"/>
        </w:rPr>
        <w:t>X</w:t>
      </w:r>
    </w:p>
    <w:p w:rsidR="00C3651E" w:rsidRPr="004549A7" w:rsidRDefault="00C3651E" w:rsidP="00BC6CE0">
      <w:pPr>
        <w:spacing w:line="276" w:lineRule="auto"/>
        <w:ind w:right="-1"/>
        <w:jc w:val="center"/>
        <w:rPr>
          <w:b/>
          <w:lang w:val="pt-BR"/>
        </w:rPr>
      </w:pPr>
      <w:r w:rsidRPr="004549A7">
        <w:rPr>
          <w:b/>
          <w:lang w:val="pt-BR"/>
        </w:rPr>
        <w:t>FLUXO DE CAIXA MARGINAL</w:t>
      </w: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0"/>
          <w:lang w:val="pt-BR"/>
        </w:rPr>
      </w:pP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  <w:r w:rsidRPr="004549A7">
        <w:rPr>
          <w:b/>
          <w:sz w:val="22"/>
          <w:lang w:val="pt-BR"/>
        </w:rPr>
        <w:t xml:space="preserve">CONCORRÊNCIA Nº </w:t>
      </w:r>
      <w:r w:rsidR="006C6818" w:rsidRPr="004549A7">
        <w:rPr>
          <w:b/>
          <w:sz w:val="22"/>
          <w:lang w:val="pt-BR"/>
        </w:rPr>
        <w:t>[•]</w:t>
      </w:r>
      <w:r w:rsidRPr="004549A7">
        <w:rPr>
          <w:b/>
          <w:sz w:val="22"/>
          <w:lang w:val="pt-BR"/>
        </w:rPr>
        <w:t xml:space="preserve"> / 2019</w:t>
      </w:r>
    </w:p>
    <w:p w:rsidR="00C3651E" w:rsidRPr="004549A7" w:rsidRDefault="00C3651E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</w:p>
    <w:p w:rsidR="005D2553" w:rsidRDefault="005D2553" w:rsidP="004549A7">
      <w:pPr>
        <w:pStyle w:val="Corpodetexto"/>
        <w:spacing w:line="360" w:lineRule="auto"/>
        <w:ind w:right="-1"/>
        <w:jc w:val="center"/>
        <w:rPr>
          <w:b/>
          <w:sz w:val="22"/>
          <w:lang w:val="pt-BR"/>
        </w:rPr>
      </w:pPr>
      <w:r w:rsidRPr="004549A7">
        <w:rPr>
          <w:b/>
          <w:sz w:val="22"/>
          <w:lang w:val="pt-BR"/>
        </w:rPr>
        <w:t>CONCESSÃO PARA EXPANSÃO, EXPLORAÇÃO E MANUTENÇÃO DO AEROPORTO SERAFIN ENOSS BERTASO DE CHAPECÓ – SANTA CATARINA</w:t>
      </w:r>
    </w:p>
    <w:p w:rsidR="004549A7" w:rsidRDefault="004549A7" w:rsidP="004549A7">
      <w:pPr>
        <w:pStyle w:val="Corpodetexto"/>
        <w:spacing w:line="276" w:lineRule="auto"/>
        <w:ind w:right="-1"/>
        <w:jc w:val="center"/>
        <w:rPr>
          <w:b/>
          <w:sz w:val="22"/>
          <w:lang w:val="pt-BR"/>
        </w:rPr>
      </w:pPr>
    </w:p>
    <w:p w:rsidR="009E7405" w:rsidRPr="004549A7" w:rsidRDefault="009E7405" w:rsidP="004549A7">
      <w:pPr>
        <w:pStyle w:val="Corpodetexto"/>
        <w:spacing w:line="276" w:lineRule="auto"/>
        <w:ind w:right="-1"/>
        <w:jc w:val="center"/>
        <w:rPr>
          <w:b/>
          <w:sz w:val="22"/>
          <w:lang w:val="pt-BR"/>
        </w:rPr>
      </w:pPr>
    </w:p>
    <w:p w:rsidR="005D2553" w:rsidRPr="005D2553" w:rsidRDefault="005D2553" w:rsidP="004549A7">
      <w:pPr>
        <w:pStyle w:val="Corpodetexto"/>
        <w:spacing w:before="11" w:line="276" w:lineRule="auto"/>
        <w:ind w:right="-1"/>
        <w:jc w:val="both"/>
        <w:rPr>
          <w:b/>
          <w:sz w:val="18"/>
          <w:lang w:val="pt-BR"/>
        </w:rPr>
      </w:pPr>
    </w:p>
    <w:p w:rsidR="00EA6C57" w:rsidRPr="004549A7" w:rsidRDefault="00EA6C57" w:rsidP="004549A7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1" w:firstLine="0"/>
        <w:jc w:val="both"/>
        <w:rPr>
          <w:b/>
          <w:lang w:val="pt-BR"/>
        </w:rPr>
      </w:pPr>
      <w:r w:rsidRPr="004549A7">
        <w:rPr>
          <w:b/>
          <w:lang w:val="pt-BR"/>
        </w:rPr>
        <w:t>O FLUXO DE CAIXA</w:t>
      </w:r>
      <w:r w:rsidRPr="004549A7">
        <w:rPr>
          <w:b/>
          <w:spacing w:val="-4"/>
          <w:lang w:val="pt-BR"/>
        </w:rPr>
        <w:t xml:space="preserve"> </w:t>
      </w:r>
      <w:r w:rsidRPr="004549A7">
        <w:rPr>
          <w:b/>
          <w:lang w:val="pt-BR"/>
        </w:rPr>
        <w:t>MARGINAL</w:t>
      </w:r>
    </w:p>
    <w:p w:rsidR="00EA6C57" w:rsidRPr="004549A7" w:rsidRDefault="00EA6C57" w:rsidP="004549A7">
      <w:pPr>
        <w:pStyle w:val="Corpodetexto"/>
        <w:spacing w:before="1" w:line="276" w:lineRule="auto"/>
        <w:ind w:right="-1"/>
        <w:jc w:val="both"/>
        <w:rPr>
          <w:b/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processo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de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recomposição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do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equilíbrio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econômico-financeiro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será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realizado</w:t>
      </w:r>
      <w:r w:rsidRPr="004549A7">
        <w:rPr>
          <w:spacing w:val="22"/>
          <w:lang w:val="pt-BR"/>
        </w:rPr>
        <w:t xml:space="preserve"> </w:t>
      </w:r>
      <w:r w:rsidRPr="004549A7">
        <w:rPr>
          <w:lang w:val="pt-BR"/>
        </w:rPr>
        <w:t>de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forma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que</w:t>
      </w:r>
      <w:r w:rsidRPr="004549A7">
        <w:rPr>
          <w:spacing w:val="23"/>
          <w:lang w:val="pt-BR"/>
        </w:rPr>
        <w:t xml:space="preserve"> </w:t>
      </w:r>
      <w:r w:rsidRPr="004549A7">
        <w:rPr>
          <w:lang w:val="pt-BR"/>
        </w:rPr>
        <w:t>seja</w:t>
      </w:r>
      <w:r w:rsidRPr="004549A7">
        <w:rPr>
          <w:spacing w:val="25"/>
          <w:lang w:val="pt-BR"/>
        </w:rPr>
        <w:t xml:space="preserve"> </w:t>
      </w:r>
      <w:r w:rsidRPr="004549A7">
        <w:rPr>
          <w:lang w:val="pt-BR"/>
        </w:rPr>
        <w:t>nulo</w:t>
      </w:r>
      <w:r w:rsidRPr="004549A7">
        <w:rPr>
          <w:spacing w:val="22"/>
          <w:lang w:val="pt-BR"/>
        </w:rPr>
        <w:t xml:space="preserve"> </w:t>
      </w:r>
      <w:r w:rsidRPr="004549A7">
        <w:rPr>
          <w:lang w:val="pt-BR"/>
        </w:rPr>
        <w:t>o</w:t>
      </w:r>
      <w:r w:rsidR="004549A7" w:rsidRPr="004549A7">
        <w:rPr>
          <w:lang w:val="pt-BR"/>
        </w:rPr>
        <w:t xml:space="preserve"> </w:t>
      </w:r>
      <w:r w:rsidRPr="004549A7">
        <w:rPr>
          <w:lang w:val="pt-BR"/>
        </w:rPr>
        <w:t>valor presente líquido do Fluxo de Caixa Marginal projetado em razão do evento que ensejou a</w:t>
      </w:r>
      <w:r w:rsidR="00720663" w:rsidRPr="004549A7">
        <w:rPr>
          <w:lang w:val="pt-BR"/>
        </w:rPr>
        <w:t xml:space="preserve"> </w:t>
      </w:r>
      <w:r w:rsidRPr="004549A7">
        <w:rPr>
          <w:lang w:val="pt-BR"/>
        </w:rPr>
        <w:t>recomposição, considerando (i) os fluxos dos dispêndios marginais resultantes do evento que deu origem à recomposição; e (</w:t>
      </w:r>
      <w:proofErr w:type="spellStart"/>
      <w:r w:rsidRPr="004549A7">
        <w:rPr>
          <w:lang w:val="pt-BR"/>
        </w:rPr>
        <w:t>ii</w:t>
      </w:r>
      <w:proofErr w:type="spellEnd"/>
      <w:r w:rsidRPr="004549A7">
        <w:rPr>
          <w:lang w:val="pt-BR"/>
        </w:rPr>
        <w:t>) os fluxos das receitas marginais resultantes do evento que deu origem à recomposição.</w:t>
      </w:r>
    </w:p>
    <w:p w:rsidR="00EA6C57" w:rsidRPr="004549A7" w:rsidRDefault="00EA6C57" w:rsidP="004549A7">
      <w:pPr>
        <w:pStyle w:val="Corpodetexto"/>
        <w:spacing w:before="12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2"/>
          <w:numId w:val="3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 Plano de Negócios da Concessionária será utilizado para avaliação se os fluxos dos dispêndios ou receitas do evento foram de fato marginais à projeção inicial, passando assim a serem considerados passíveis de recomposição através do Fluxo de Caixa Marginal.</w:t>
      </w:r>
    </w:p>
    <w:p w:rsidR="00EA6C57" w:rsidRPr="004549A7" w:rsidRDefault="00EA6C57" w:rsidP="004549A7">
      <w:pPr>
        <w:pStyle w:val="Corpodetexto"/>
        <w:spacing w:before="11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Os fluxos dos dispêndios e das receitas marginais referidos no item 1.1 serão descontados pela Taxa de Desconto do Fluxo de Caixa Marginal a ser determinada em comum acordo entre o PODER CONCEDENTE e a CONCESSIONÁRIA.</w:t>
      </w:r>
    </w:p>
    <w:p w:rsidR="00EA6C57" w:rsidRPr="004549A7" w:rsidRDefault="00EA6C57" w:rsidP="004549A7">
      <w:pPr>
        <w:pStyle w:val="Corpodetexto"/>
        <w:spacing w:before="2" w:line="276" w:lineRule="auto"/>
        <w:ind w:right="-1"/>
        <w:jc w:val="both"/>
        <w:rPr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Para fins de determinação dos fluxos dos dispêndios marginais, serão utilizados critérios de mercado para estimar o valor dos investimentos, custos e despesas resultantes do evento que deu causa ao reequilíbrio, por meio das melhores referências de preço do setor público e/ou do setor privado disponíveis no momento do pleito e, na indisponibilidade de informações mais atuais e a critério do PODER CONCEDENTE, das projeções apresentadas no Plano de Negócios da Concessionária.</w:t>
      </w:r>
    </w:p>
    <w:p w:rsidR="00EA6C57" w:rsidRPr="004549A7" w:rsidRDefault="00EA6C57" w:rsidP="004549A7">
      <w:pPr>
        <w:pStyle w:val="Corpodetexto"/>
        <w:spacing w:before="8"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Para fins de determinação dos fluxos das receitas marginais em que seja necessário adotar uma projeção de demanda, será utilizado o seguinte procedimento em duas etapas:</w:t>
      </w:r>
    </w:p>
    <w:p w:rsidR="00EA6C57" w:rsidRPr="004549A7" w:rsidRDefault="00EA6C57" w:rsidP="004549A7">
      <w:pPr>
        <w:pStyle w:val="Corpodetexto"/>
        <w:spacing w:before="4" w:line="276" w:lineRule="auto"/>
        <w:ind w:right="-1"/>
        <w:jc w:val="both"/>
        <w:rPr>
          <w:sz w:val="18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4"/>
        </w:numPr>
        <w:tabs>
          <w:tab w:val="left" w:pos="142"/>
          <w:tab w:val="left" w:pos="567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No momento da recomposição do equilíbrio econômico-financeiro, o cálculo inicial para o</w:t>
      </w:r>
      <w:r w:rsidR="004549A7" w:rsidRPr="004549A7">
        <w:rPr>
          <w:lang w:val="pt-BR"/>
        </w:rPr>
        <w:t xml:space="preserve"> </w:t>
      </w:r>
      <w:r w:rsidRPr="004549A7">
        <w:rPr>
          <w:lang w:val="pt-BR"/>
        </w:rPr>
        <w:t>dimensionamento da recomposição considerará a demanda real constatada nos anos anteriores e adotará as melhores práticas para projetar a demanda até o encerramento do prazo da Concessão;</w:t>
      </w:r>
    </w:p>
    <w:p w:rsidR="00EA6C57" w:rsidRPr="004549A7" w:rsidRDefault="00EA6C57" w:rsidP="009E7405">
      <w:pPr>
        <w:pStyle w:val="PargrafodaLista"/>
        <w:numPr>
          <w:ilvl w:val="2"/>
          <w:numId w:val="4"/>
        </w:numPr>
        <w:tabs>
          <w:tab w:val="left" w:pos="142"/>
          <w:tab w:val="left" w:pos="567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Periodicamente, o referido cálculo inicial será revisado para substituir a demanda projetada pelos respectivos valores realizados, de acordo com o disposto nos itens seguintes.</w:t>
      </w:r>
    </w:p>
    <w:p w:rsidR="00EA6C57" w:rsidRPr="004549A7" w:rsidRDefault="00EA6C57" w:rsidP="004549A7">
      <w:pPr>
        <w:pStyle w:val="Corpodetexto"/>
        <w:spacing w:before="5" w:line="276" w:lineRule="auto"/>
        <w:ind w:right="-1"/>
        <w:jc w:val="both"/>
        <w:rPr>
          <w:sz w:val="16"/>
          <w:lang w:val="pt-BR"/>
        </w:rPr>
      </w:pPr>
    </w:p>
    <w:p w:rsidR="004549A7" w:rsidRDefault="00EA6C57" w:rsidP="004549A7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before="118"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lastRenderedPageBreak/>
        <w:t>A projeção de demanda mencionada no item 1.4 acima será elaborada pela CONCESSIONÁRIA e submetida à aprovação do PODER CONCEDENTE, que poderá optar por uso de projeção própria, observados os critérios fixados no presente Anexo.</w:t>
      </w:r>
    </w:p>
    <w:p w:rsidR="004549A7" w:rsidRPr="004549A7" w:rsidRDefault="004549A7" w:rsidP="004549A7">
      <w:pPr>
        <w:pStyle w:val="PargrafodaLista"/>
        <w:tabs>
          <w:tab w:val="left" w:pos="567"/>
          <w:tab w:val="left" w:pos="1725"/>
          <w:tab w:val="left" w:pos="2157"/>
        </w:tabs>
        <w:spacing w:before="118" w:line="276" w:lineRule="auto"/>
        <w:ind w:left="0" w:right="-1"/>
        <w:jc w:val="both"/>
        <w:rPr>
          <w:lang w:val="pt-BR"/>
        </w:rPr>
      </w:pPr>
    </w:p>
    <w:p w:rsidR="00EA6C57" w:rsidRPr="004549A7" w:rsidRDefault="00EA6C57" w:rsidP="004549A7">
      <w:pPr>
        <w:pStyle w:val="Corpodetexto"/>
        <w:spacing w:before="2" w:line="276" w:lineRule="auto"/>
        <w:ind w:right="-1"/>
        <w:jc w:val="both"/>
        <w:rPr>
          <w:sz w:val="22"/>
          <w:lang w:val="pt-BR"/>
        </w:rPr>
      </w:pPr>
    </w:p>
    <w:p w:rsidR="00EA6C57" w:rsidRPr="004549A7" w:rsidRDefault="00EA6C57" w:rsidP="004549A7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right="-1" w:firstLine="0"/>
        <w:jc w:val="both"/>
        <w:rPr>
          <w:b/>
          <w:lang w:val="pt-BR"/>
        </w:rPr>
      </w:pPr>
      <w:r w:rsidRPr="004549A7">
        <w:rPr>
          <w:b/>
          <w:lang w:val="pt-BR"/>
        </w:rPr>
        <w:t>REVISÃO DO FLUXO DE CAIXA MARGINAL RESULTANTE DE CADA RECOMPOSIÇÃO</w:t>
      </w:r>
    </w:p>
    <w:p w:rsidR="00EA6C57" w:rsidRPr="009E7405" w:rsidRDefault="00EA6C57" w:rsidP="004549A7">
      <w:pPr>
        <w:pStyle w:val="Corpodetexto"/>
        <w:spacing w:before="6" w:line="276" w:lineRule="auto"/>
        <w:ind w:right="-1"/>
        <w:jc w:val="both"/>
        <w:rPr>
          <w:b/>
          <w:sz w:val="22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 xml:space="preserve">Para cada processo de recomposição do equilíbrio econômico-financeiro em que tenha sido adotada uma projeção de demanda, a </w:t>
      </w:r>
      <w:r w:rsidR="00367388">
        <w:rPr>
          <w:lang w:val="pt-BR"/>
        </w:rPr>
        <w:t xml:space="preserve">Concessionária </w:t>
      </w:r>
      <w:r w:rsidRPr="004549A7">
        <w:rPr>
          <w:lang w:val="pt-BR"/>
        </w:rPr>
        <w:t>realizará periodicamente a revisão dos respectivos fluxos das receitas marginais referidos nos itens anteriores para ajustar os dados da projeção de demanda aos dados reais apurados durante a vigência da Concessão, sendo que: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 periodicidade das revisões será estabelecida pelo PODER CONCEDENTE, devendo ser realizadas em intervalos máximos de 5 (cinco) anos e no encerramento da Concessão;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 revisão a ser realizada pelo PODER CONCEDENTE poderá considerar ainda outras informações reais apuradas durante a vigência da Concessão para substituir variáveis estimadas na elaboração do Fluxo de Caixa Marginal, vedada a alteração dos valores estimados para os investimentos, custos e despesas considerados nos fluxos dos dispêndios marginais; e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5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Na revisão a ser realizada pelo PODER CONCEDENTE, deverá ser mantida a Taxa de Desconto originalmente utilizada no Fluxo de Caixa Marginal projetado em razão da recomposição, calculada na Revisão dos Parâmetros da Concessão imediatamente anterior à ocorrência do evento.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Ao final do prazo da Concessão, caso a última revisão do Fluxo de Caixa Marginal revele resultado favorável à CONCESSIONÁRIA, o PODER CONCEDENTE</w:t>
      </w:r>
      <w:r w:rsidRPr="004549A7">
        <w:rPr>
          <w:spacing w:val="-4"/>
          <w:lang w:val="pt-BR"/>
        </w:rPr>
        <w:t xml:space="preserve"> </w:t>
      </w:r>
      <w:r w:rsidRPr="004549A7">
        <w:rPr>
          <w:lang w:val="pt-BR"/>
        </w:rPr>
        <w:t>poderá: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6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Determinar encargos adicionais à CONCESSIONÁRIA de forma que os respectivos dispêndios anulem o valor presente líquido do Fluxo de Caixa Marginal; ou</w:t>
      </w:r>
    </w:p>
    <w:p w:rsidR="004549A7" w:rsidRPr="004549A7" w:rsidRDefault="004549A7" w:rsidP="009E7405">
      <w:pPr>
        <w:pStyle w:val="PargrafodaLista"/>
        <w:tabs>
          <w:tab w:val="left" w:pos="851"/>
          <w:tab w:val="left" w:pos="1725"/>
          <w:tab w:val="left" w:pos="2157"/>
        </w:tabs>
        <w:spacing w:line="276" w:lineRule="auto"/>
        <w:ind w:left="0" w:right="-1"/>
        <w:jc w:val="both"/>
        <w:rPr>
          <w:lang w:val="pt-BR"/>
        </w:rPr>
      </w:pPr>
    </w:p>
    <w:p w:rsidR="00EA6C57" w:rsidRPr="004549A7" w:rsidRDefault="00EA6C57" w:rsidP="009E7405">
      <w:pPr>
        <w:pStyle w:val="PargrafodaLista"/>
        <w:numPr>
          <w:ilvl w:val="2"/>
          <w:numId w:val="6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Reter valores pagos pela CONCESSIONÁRIA, a exemplo da Garantia de Execução do Contrato, já em poder do PODER CONCEDENTE, até que esses valores anulem o valor presente líquido do Fluxo de Caixa Marginal.</w:t>
      </w:r>
    </w:p>
    <w:p w:rsidR="00EA6C57" w:rsidRPr="004549A7" w:rsidRDefault="00EA6C57" w:rsidP="009E7405">
      <w:pPr>
        <w:pStyle w:val="Corpodetexto"/>
        <w:spacing w:line="276" w:lineRule="auto"/>
        <w:ind w:right="-1"/>
        <w:jc w:val="both"/>
        <w:rPr>
          <w:sz w:val="16"/>
          <w:lang w:val="pt-BR"/>
        </w:rPr>
      </w:pPr>
    </w:p>
    <w:p w:rsidR="00EA6C57" w:rsidRPr="004549A7" w:rsidRDefault="00EA6C57" w:rsidP="009E7405">
      <w:pPr>
        <w:pStyle w:val="PargrafodaLista"/>
        <w:numPr>
          <w:ilvl w:val="1"/>
          <w:numId w:val="2"/>
        </w:numPr>
        <w:tabs>
          <w:tab w:val="left" w:pos="567"/>
          <w:tab w:val="left" w:pos="1725"/>
          <w:tab w:val="left" w:pos="2157"/>
        </w:tabs>
        <w:spacing w:line="276" w:lineRule="auto"/>
        <w:ind w:left="0" w:right="-1" w:firstLine="0"/>
        <w:jc w:val="both"/>
        <w:rPr>
          <w:lang w:val="pt-BR"/>
        </w:rPr>
      </w:pPr>
      <w:r w:rsidRPr="004549A7">
        <w:rPr>
          <w:lang w:val="pt-BR"/>
        </w:rPr>
        <w:t>Ao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final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prazo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Concessão,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caso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última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revisão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Fluxo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>de</w:t>
      </w:r>
      <w:r w:rsidRPr="009E7405">
        <w:rPr>
          <w:lang w:val="pt-BR"/>
        </w:rPr>
        <w:t xml:space="preserve"> </w:t>
      </w:r>
      <w:r w:rsidRPr="004549A7">
        <w:rPr>
          <w:lang w:val="pt-BR"/>
        </w:rPr>
        <w:t xml:space="preserve">Caixa Marginal revele resultado </w:t>
      </w:r>
      <w:r w:rsidR="009E7405" w:rsidRPr="004549A7">
        <w:rPr>
          <w:lang w:val="pt-BR"/>
        </w:rPr>
        <w:t>desfavorável à</w:t>
      </w:r>
      <w:r w:rsidRPr="004549A7">
        <w:rPr>
          <w:lang w:val="pt-BR"/>
        </w:rPr>
        <w:t xml:space="preserve"> CONCESSIONÁRIA, o PODER CONCEDENTE deverá recompor o equilíbrio econômico financeiro do Contrato para proporcionar receitas adicionais à Concessionária, de forma a anular o valor presente líquido do Fluxo de Caixa Marginal.</w:t>
      </w:r>
    </w:p>
    <w:p w:rsidR="00C3651E" w:rsidRDefault="00C3651E" w:rsidP="004549A7">
      <w:pPr>
        <w:pStyle w:val="Corpodetexto"/>
        <w:spacing w:before="65" w:line="276" w:lineRule="auto"/>
        <w:ind w:right="-1"/>
        <w:jc w:val="both"/>
        <w:rPr>
          <w:sz w:val="20"/>
          <w:lang w:val="pt-BR"/>
        </w:rPr>
      </w:pPr>
    </w:p>
    <w:sectPr w:rsidR="00C3651E" w:rsidSect="00367388">
      <w:headerReference w:type="default" r:id="rId7"/>
      <w:footerReference w:type="default" r:id="rId8"/>
      <w:pgSz w:w="11900" w:h="16840"/>
      <w:pgMar w:top="2127" w:right="843" w:bottom="1276" w:left="1134" w:header="709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3A" w:rsidRDefault="00D9383A">
      <w:r>
        <w:separator/>
      </w:r>
    </w:p>
  </w:endnote>
  <w:endnote w:type="continuationSeparator" w:id="0">
    <w:p w:rsidR="00D9383A" w:rsidRDefault="00D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3A" w:rsidRDefault="00D9383A">
      <w:r>
        <w:separator/>
      </w:r>
    </w:p>
  </w:footnote>
  <w:footnote w:type="continuationSeparator" w:id="0">
    <w:p w:rsidR="00D9383A" w:rsidRDefault="00D9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2282190</wp:posOffset>
          </wp:positionH>
          <wp:positionV relativeFrom="paragraph">
            <wp:posOffset>-398449</wp:posOffset>
          </wp:positionV>
          <wp:extent cx="1699404" cy="1080000"/>
          <wp:effectExtent l="0" t="0" r="0" b="635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44DC"/>
    <w:multiLevelType w:val="multilevel"/>
    <w:tmpl w:val="C346CA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1" w15:restartNumberingAfterBreak="0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 w15:restartNumberingAfterBreak="0">
    <w:nsid w:val="321C1BCE"/>
    <w:multiLevelType w:val="multilevel"/>
    <w:tmpl w:val="1E18F13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56" w:hanging="55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27" w:hanging="550"/>
      </w:pPr>
      <w:rPr>
        <w:rFonts w:hint="default"/>
      </w:rPr>
    </w:lvl>
    <w:lvl w:ilvl="4">
      <w:numFmt w:val="bullet"/>
      <w:lvlText w:val="•"/>
      <w:lvlJc w:val="left"/>
      <w:pPr>
        <w:ind w:left="4495" w:hanging="550"/>
      </w:pPr>
      <w:rPr>
        <w:rFonts w:hint="default"/>
      </w:rPr>
    </w:lvl>
    <w:lvl w:ilvl="5">
      <w:numFmt w:val="bullet"/>
      <w:lvlText w:val="•"/>
      <w:lvlJc w:val="left"/>
      <w:pPr>
        <w:ind w:left="5662" w:hanging="550"/>
      </w:pPr>
      <w:rPr>
        <w:rFonts w:hint="default"/>
      </w:rPr>
    </w:lvl>
    <w:lvl w:ilvl="6">
      <w:numFmt w:val="bullet"/>
      <w:lvlText w:val="•"/>
      <w:lvlJc w:val="left"/>
      <w:pPr>
        <w:ind w:left="6830" w:hanging="550"/>
      </w:pPr>
      <w:rPr>
        <w:rFonts w:hint="default"/>
      </w:rPr>
    </w:lvl>
    <w:lvl w:ilvl="7">
      <w:numFmt w:val="bullet"/>
      <w:lvlText w:val="•"/>
      <w:lvlJc w:val="left"/>
      <w:pPr>
        <w:ind w:left="7997" w:hanging="550"/>
      </w:pPr>
      <w:rPr>
        <w:rFonts w:hint="default"/>
      </w:rPr>
    </w:lvl>
    <w:lvl w:ilvl="8">
      <w:numFmt w:val="bullet"/>
      <w:lvlText w:val="•"/>
      <w:lvlJc w:val="left"/>
      <w:pPr>
        <w:ind w:left="9165" w:hanging="550"/>
      </w:pPr>
      <w:rPr>
        <w:rFonts w:hint="default"/>
      </w:rPr>
    </w:lvl>
  </w:abstractNum>
  <w:abstractNum w:abstractNumId="3" w15:restartNumberingAfterBreak="0">
    <w:nsid w:val="39774CED"/>
    <w:multiLevelType w:val="multilevel"/>
    <w:tmpl w:val="CDAA6D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4" w15:restartNumberingAfterBreak="0">
    <w:nsid w:val="3986135D"/>
    <w:multiLevelType w:val="multilevel"/>
    <w:tmpl w:val="1E6217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 w15:restartNumberingAfterBreak="0">
    <w:nsid w:val="4D6E3E8B"/>
    <w:multiLevelType w:val="multilevel"/>
    <w:tmpl w:val="2542CE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64E5E"/>
    <w:rsid w:val="000C2638"/>
    <w:rsid w:val="000F4EEA"/>
    <w:rsid w:val="001378BE"/>
    <w:rsid w:val="001E18E3"/>
    <w:rsid w:val="002418C3"/>
    <w:rsid w:val="00367388"/>
    <w:rsid w:val="004549A7"/>
    <w:rsid w:val="0057639C"/>
    <w:rsid w:val="005D2553"/>
    <w:rsid w:val="00655B83"/>
    <w:rsid w:val="006C6818"/>
    <w:rsid w:val="00720663"/>
    <w:rsid w:val="00744707"/>
    <w:rsid w:val="00784AB4"/>
    <w:rsid w:val="00842F13"/>
    <w:rsid w:val="00895C97"/>
    <w:rsid w:val="008C0588"/>
    <w:rsid w:val="008D13D2"/>
    <w:rsid w:val="008D6F4D"/>
    <w:rsid w:val="008E09AB"/>
    <w:rsid w:val="00922BB9"/>
    <w:rsid w:val="009E7405"/>
    <w:rsid w:val="00A21FF6"/>
    <w:rsid w:val="00B167F8"/>
    <w:rsid w:val="00BC6CE0"/>
    <w:rsid w:val="00C3651E"/>
    <w:rsid w:val="00CF677E"/>
    <w:rsid w:val="00D13D04"/>
    <w:rsid w:val="00D530E0"/>
    <w:rsid w:val="00D9383A"/>
    <w:rsid w:val="00DD65FB"/>
    <w:rsid w:val="00E0046E"/>
    <w:rsid w:val="00EA16E2"/>
    <w:rsid w:val="00EA6C57"/>
    <w:rsid w:val="00FB45E5"/>
    <w:rsid w:val="00FB4AA7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CC04D"/>
  <w15:docId w15:val="{35722ED8-8AC7-456F-9924-DD77D31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Joao Paulo Correa Neves</cp:lastModifiedBy>
  <cp:revision>12</cp:revision>
  <dcterms:created xsi:type="dcterms:W3CDTF">2019-03-26T13:37:00Z</dcterms:created>
  <dcterms:modified xsi:type="dcterms:W3CDTF">2019-04-27T02:00:00Z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